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1A" w:rsidRPr="00537842" w:rsidRDefault="007E019C">
      <w:pPr>
        <w:rPr>
          <w:rFonts w:ascii="Times New Roman" w:hAnsi="Times New Roman" w:cs="Times New Roman"/>
          <w:b/>
        </w:rPr>
      </w:pPr>
      <w:r w:rsidRPr="00537842">
        <w:rPr>
          <w:rFonts w:ascii="Times New Roman" w:hAnsi="Times New Roman" w:cs="Times New Roman"/>
          <w:b/>
        </w:rPr>
        <w:t xml:space="preserve">Supplementary </w:t>
      </w:r>
      <w:r w:rsidR="00054B96">
        <w:rPr>
          <w:rFonts w:ascii="Times New Roman" w:hAnsi="Times New Roman" w:cs="Times New Roman"/>
          <w:b/>
        </w:rPr>
        <w:t>F</w:t>
      </w:r>
      <w:r w:rsidRPr="00537842">
        <w:rPr>
          <w:rFonts w:ascii="Times New Roman" w:hAnsi="Times New Roman" w:cs="Times New Roman"/>
          <w:b/>
        </w:rPr>
        <w:t>ile</w:t>
      </w:r>
      <w:r w:rsidR="00A83594" w:rsidRPr="00537842">
        <w:rPr>
          <w:rFonts w:ascii="Times New Roman" w:hAnsi="Times New Roman" w:cs="Times New Roman"/>
          <w:b/>
        </w:rPr>
        <w:t xml:space="preserve"> </w:t>
      </w:r>
      <w:r w:rsidR="003D7A06">
        <w:rPr>
          <w:rFonts w:ascii="Times New Roman" w:hAnsi="Times New Roman" w:cs="Times New Roman"/>
          <w:b/>
        </w:rPr>
        <w:t>2</w:t>
      </w:r>
      <w:r w:rsidR="00A83594" w:rsidRPr="00537842">
        <w:rPr>
          <w:rFonts w:ascii="Times New Roman" w:hAnsi="Times New Roman" w:cs="Times New Roman"/>
          <w:b/>
        </w:rPr>
        <w:t xml:space="preserve">: </w:t>
      </w:r>
      <w:r w:rsidR="00366B1A" w:rsidRPr="00537842">
        <w:rPr>
          <w:rFonts w:ascii="Times New Roman" w:hAnsi="Times New Roman" w:cs="Times New Roman"/>
          <w:b/>
        </w:rPr>
        <w:t>Effect</w:t>
      </w:r>
      <w:r w:rsidR="003D7A06">
        <w:rPr>
          <w:rFonts w:ascii="Times New Roman" w:hAnsi="Times New Roman" w:cs="Times New Roman"/>
          <w:b/>
        </w:rPr>
        <w:t>s</w:t>
      </w:r>
      <w:r w:rsidR="00366B1A" w:rsidRPr="00537842">
        <w:rPr>
          <w:rFonts w:ascii="Times New Roman" w:hAnsi="Times New Roman" w:cs="Times New Roman"/>
          <w:b/>
        </w:rPr>
        <w:t xml:space="preserve"> of consensus messages on concern, intentions and policy opinions</w:t>
      </w:r>
    </w:p>
    <w:p w:rsidR="00366B1A" w:rsidRPr="00537842" w:rsidRDefault="00366B1A">
      <w:pPr>
        <w:rPr>
          <w:rFonts w:ascii="Times New Roman" w:hAnsi="Times New Roman" w:cs="Times New Roman"/>
        </w:rPr>
      </w:pPr>
    </w:p>
    <w:p w:rsidR="0056616A" w:rsidRPr="00537842" w:rsidRDefault="00366B1A" w:rsidP="00054B96">
      <w:pPr>
        <w:spacing w:line="480" w:lineRule="auto"/>
        <w:ind w:firstLine="720"/>
        <w:rPr>
          <w:rFonts w:ascii="Times New Roman" w:hAnsi="Times New Roman" w:cs="Times New Roman"/>
        </w:rPr>
      </w:pPr>
      <w:r w:rsidRPr="00537842">
        <w:rPr>
          <w:rFonts w:ascii="Times New Roman" w:hAnsi="Times New Roman" w:cs="Times New Roman"/>
        </w:rPr>
        <w:t>The Gateway Belief Model also posits that increases in belief that human caused climate change is occurring have a ‘cascading’ effect on related attitudes and beliefs, increasing concern about climate change and support for public action</w:t>
      </w:r>
      <w:r w:rsidR="0056616A" w:rsidRPr="00537842">
        <w:rPr>
          <w:rFonts w:ascii="Times New Roman" w:hAnsi="Times New Roman" w:cs="Times New Roman"/>
        </w:rPr>
        <w:t>. In the current study we</w:t>
      </w:r>
      <w:r w:rsidRPr="00537842">
        <w:rPr>
          <w:rFonts w:ascii="Times New Roman" w:hAnsi="Times New Roman" w:cs="Times New Roman"/>
        </w:rPr>
        <w:t xml:space="preserve"> include</w:t>
      </w:r>
      <w:r w:rsidR="0056616A" w:rsidRPr="00537842">
        <w:rPr>
          <w:rFonts w:ascii="Times New Roman" w:hAnsi="Times New Roman" w:cs="Times New Roman"/>
        </w:rPr>
        <w:t>d</w:t>
      </w:r>
      <w:r w:rsidRPr="00537842">
        <w:rPr>
          <w:rFonts w:ascii="Times New Roman" w:hAnsi="Times New Roman" w:cs="Times New Roman"/>
        </w:rPr>
        <w:t xml:space="preserve"> a number of attitudinal measures to investigate the wider effects of consensus messages</w:t>
      </w:r>
      <w:r w:rsidR="00371F45" w:rsidRPr="00537842">
        <w:rPr>
          <w:rFonts w:ascii="Times New Roman" w:hAnsi="Times New Roman" w:cs="Times New Roman"/>
        </w:rPr>
        <w:t>. While not the focus of the study, for completeness w</w:t>
      </w:r>
      <w:r w:rsidR="0056616A" w:rsidRPr="00537842">
        <w:rPr>
          <w:rFonts w:ascii="Times New Roman" w:hAnsi="Times New Roman" w:cs="Times New Roman"/>
        </w:rPr>
        <w:t>e report here these measures and compare results between experimental groups.</w:t>
      </w:r>
      <w:r w:rsidR="00812144" w:rsidRPr="00537842">
        <w:rPr>
          <w:rFonts w:ascii="Times New Roman" w:hAnsi="Times New Roman" w:cs="Times New Roman"/>
        </w:rPr>
        <w:t xml:space="preserve"> A full list of all survey items can be found in </w:t>
      </w:r>
      <w:r w:rsidR="003305B7" w:rsidRPr="00537842">
        <w:rPr>
          <w:rFonts w:ascii="Times New Roman" w:hAnsi="Times New Roman" w:cs="Times New Roman"/>
        </w:rPr>
        <w:t>File</w:t>
      </w:r>
      <w:r w:rsidR="00DE26E4">
        <w:rPr>
          <w:rFonts w:ascii="Times New Roman" w:hAnsi="Times New Roman" w:cs="Times New Roman"/>
        </w:rPr>
        <w:t xml:space="preserve"> S1</w:t>
      </w:r>
      <w:r w:rsidR="00812144" w:rsidRPr="00537842">
        <w:rPr>
          <w:rFonts w:ascii="Times New Roman" w:hAnsi="Times New Roman" w:cs="Times New Roman"/>
        </w:rPr>
        <w:t xml:space="preserve">. </w:t>
      </w:r>
    </w:p>
    <w:p w:rsidR="00366B1A" w:rsidRPr="00537842" w:rsidRDefault="0056616A" w:rsidP="00054B96">
      <w:pPr>
        <w:spacing w:line="480" w:lineRule="auto"/>
        <w:rPr>
          <w:rFonts w:ascii="Times New Roman" w:hAnsi="Times New Roman" w:cs="Times New Roman"/>
          <w:b/>
        </w:rPr>
      </w:pPr>
      <w:r w:rsidRPr="00537842">
        <w:rPr>
          <w:rFonts w:ascii="Times New Roman" w:hAnsi="Times New Roman" w:cs="Times New Roman"/>
          <w:b/>
        </w:rPr>
        <w:t>Measures</w:t>
      </w:r>
    </w:p>
    <w:p w:rsidR="00366B1A" w:rsidRPr="00537842" w:rsidRDefault="00366B1A" w:rsidP="00366B1A">
      <w:pPr>
        <w:spacing w:line="480" w:lineRule="auto"/>
        <w:ind w:firstLine="720"/>
        <w:rPr>
          <w:rFonts w:ascii="Times New Roman" w:hAnsi="Times New Roman" w:cs="Times New Roman"/>
        </w:rPr>
      </w:pPr>
      <w:r w:rsidRPr="00537842">
        <w:rPr>
          <w:rFonts w:ascii="Times New Roman" w:hAnsi="Times New Roman" w:cs="Times New Roman"/>
          <w:b/>
          <w:i/>
        </w:rPr>
        <w:t>Climate concern:</w:t>
      </w:r>
      <w:r w:rsidRPr="00537842">
        <w:rPr>
          <w:rFonts w:ascii="Times New Roman" w:hAnsi="Times New Roman" w:cs="Times New Roman"/>
        </w:rPr>
        <w:t xml:space="preserve"> A 3-item scale from </w:t>
      </w:r>
      <w:r w:rsidRPr="00537842">
        <w:rPr>
          <w:rFonts w:ascii="Times New Roman" w:hAnsi="Times New Roman" w:cs="Times New Roman"/>
          <w:noProof/>
        </w:rPr>
        <w:t>Spence, Poortinga and Pidgeon</w:t>
      </w:r>
      <w:r w:rsidRPr="00537842">
        <w:rPr>
          <w:rFonts w:ascii="Times New Roman" w:hAnsi="Times New Roman" w:cs="Times New Roman"/>
        </w:rPr>
        <w:t xml:space="preserve"> </w:t>
      </w:r>
      <w:r w:rsidRPr="00537842">
        <w:rPr>
          <w:rFonts w:ascii="Times New Roman" w:hAnsi="Times New Roman" w:cs="Times New Roman"/>
        </w:rPr>
        <w:fldChar w:fldCharType="begin" w:fldLock="1"/>
      </w:r>
      <w:r w:rsidR="00F72B98">
        <w:rPr>
          <w:rFonts w:ascii="Times New Roman" w:hAnsi="Times New Roman" w:cs="Times New Roman"/>
        </w:rPr>
        <w:instrText>ADDIN CSL_CITATION { "citationItems" : [ { "id" : "ITEM-1", "itemData" : { "DOI" : "10.1111/j.1539-6924.2011.01695.x", "ISSN" : "02724332", "author" : [ { "dropping-particle" : "", "family" : "Spence", "given" : "Alexa", "non-dropping-particle" : "", "parse-names" : false, "suffix" : "" }, { "dropping-particle" : "", "family" : "Poortinga", "given" : "Wouter", "non-dropping-particle" : "", "parse-names" : false, "suffix" : "" }, { "dropping-particle" : "", "family" : "Pidgeon", "given" : "Nick", "non-dropping-particle" : "", "parse-names" : false, "suffix" : "" } ], "container-title" : "Risk Analysis", "id" : "ITEM-1", "issue" : "6", "issued" : { "date-parts" : [ [ "2012", "6", "1" ] ] }, "page" : "957-972", "title" : "The psychological distance of climate change", "type" : "article-journal", "volume" : "32" }, "suppress-author" : 1, "uris" : [ "http://www.mendeley.com/documents/?uuid=e00f05a1-a4cb-3d5c-968d-11aa5f694f7a" ] } ], "mendeley" : { "formattedCitation" : "[1]", "plainTextFormattedCitation" : "[1]", "previouslyFormattedCitation" : "[1]" }, "properties" : {  }, "schema" : "https://github.com/citation-style-language/schema/raw/master/csl-citation.json" }</w:instrText>
      </w:r>
      <w:r w:rsidRPr="00537842">
        <w:rPr>
          <w:rFonts w:ascii="Times New Roman" w:hAnsi="Times New Roman" w:cs="Times New Roman"/>
        </w:rPr>
        <w:fldChar w:fldCharType="separate"/>
      </w:r>
      <w:r w:rsidR="00F72B98" w:rsidRPr="00F72B98">
        <w:rPr>
          <w:rFonts w:ascii="Times New Roman" w:hAnsi="Times New Roman" w:cs="Times New Roman"/>
          <w:noProof/>
        </w:rPr>
        <w:t>[1]</w:t>
      </w:r>
      <w:r w:rsidRPr="00537842">
        <w:rPr>
          <w:rFonts w:ascii="Times New Roman" w:hAnsi="Times New Roman" w:cs="Times New Roman"/>
        </w:rPr>
        <w:fldChar w:fldCharType="end"/>
      </w:r>
      <w:r w:rsidRPr="00537842">
        <w:rPr>
          <w:rFonts w:ascii="Times New Roman" w:hAnsi="Times New Roman" w:cs="Times New Roman"/>
        </w:rPr>
        <w:t xml:space="preserve"> was used to measure concern regarding the effects of climate change was measured using. These items covered the three main types of concern associated with climate change: general concern, personal concern and societal concern</w:t>
      </w:r>
      <w:r w:rsidRPr="00537842" w:rsidDel="0006732A">
        <w:rPr>
          <w:rFonts w:ascii="Times New Roman" w:hAnsi="Times New Roman" w:cs="Times New Roman"/>
        </w:rPr>
        <w:t xml:space="preserve"> </w:t>
      </w:r>
      <w:r w:rsidRPr="00537842">
        <w:rPr>
          <w:rFonts w:ascii="Times New Roman" w:hAnsi="Times New Roman" w:cs="Times New Roman"/>
        </w:rPr>
        <w:t xml:space="preserve">(example: </w:t>
      </w:r>
      <w:r w:rsidRPr="00537842">
        <w:rPr>
          <w:rFonts w:ascii="Times New Roman" w:hAnsi="Times New Roman" w:cs="Times New Roman"/>
          <w:i/>
        </w:rPr>
        <w:t>Considering any potential effects of climate change there might be on society in general, how concerned are you about climate change?</w:t>
      </w:r>
      <w:r w:rsidRPr="00537842">
        <w:rPr>
          <w:rFonts w:ascii="Times New Roman" w:hAnsi="Times New Roman" w:cs="Times New Roman"/>
        </w:rPr>
        <w:t>). Participants responded on a scale ranging from 1 (</w:t>
      </w:r>
      <w:r w:rsidRPr="00537842">
        <w:rPr>
          <w:rFonts w:ascii="Times New Roman" w:hAnsi="Times New Roman" w:cs="Times New Roman"/>
          <w:i/>
        </w:rPr>
        <w:t>Not at all concerned</w:t>
      </w:r>
      <w:r w:rsidRPr="00537842">
        <w:rPr>
          <w:rFonts w:ascii="Times New Roman" w:hAnsi="Times New Roman" w:cs="Times New Roman"/>
        </w:rPr>
        <w:t>) to 7 (</w:t>
      </w:r>
      <w:r w:rsidRPr="00537842">
        <w:rPr>
          <w:rFonts w:ascii="Times New Roman" w:hAnsi="Times New Roman" w:cs="Times New Roman"/>
          <w:i/>
        </w:rPr>
        <w:t>Very concerned</w:t>
      </w:r>
      <w:r w:rsidRPr="00537842">
        <w:rPr>
          <w:rFonts w:ascii="Times New Roman" w:hAnsi="Times New Roman" w:cs="Times New Roman"/>
        </w:rPr>
        <w:t>). The scale displayed good reliability (</w:t>
      </w:r>
      <w:r w:rsidRPr="00537842">
        <w:rPr>
          <w:rFonts w:ascii="Times New Roman" w:hAnsi="Times New Roman" w:cs="Times New Roman"/>
          <w:i/>
        </w:rPr>
        <w:t>α</w:t>
      </w:r>
      <w:r w:rsidRPr="00537842">
        <w:rPr>
          <w:rFonts w:ascii="Times New Roman" w:hAnsi="Times New Roman" w:cs="Times New Roman"/>
        </w:rPr>
        <w:t xml:space="preserve"> = .88), similar to that reported in Spence et al. (</w:t>
      </w:r>
      <w:r w:rsidRPr="00537842">
        <w:rPr>
          <w:rFonts w:ascii="Times New Roman" w:hAnsi="Times New Roman" w:cs="Times New Roman"/>
          <w:i/>
        </w:rPr>
        <w:t>α</w:t>
      </w:r>
      <w:r w:rsidRPr="00537842">
        <w:rPr>
          <w:rFonts w:ascii="Times New Roman" w:hAnsi="Times New Roman" w:cs="Times New Roman"/>
        </w:rPr>
        <w:t xml:space="preserve"> = .83)</w:t>
      </w:r>
      <w:r w:rsidR="00256C48">
        <w:rPr>
          <w:rFonts w:ascii="Times New Roman" w:hAnsi="Times New Roman" w:cs="Times New Roman"/>
        </w:rPr>
        <w:t>.</w:t>
      </w:r>
    </w:p>
    <w:p w:rsidR="00366B1A" w:rsidRPr="00537842" w:rsidRDefault="00366B1A" w:rsidP="00366B1A">
      <w:pPr>
        <w:spacing w:line="480" w:lineRule="auto"/>
        <w:ind w:firstLine="720"/>
        <w:rPr>
          <w:rFonts w:ascii="Times New Roman" w:hAnsi="Times New Roman" w:cs="Times New Roman"/>
        </w:rPr>
      </w:pPr>
      <w:r w:rsidRPr="00537842">
        <w:rPr>
          <w:rFonts w:ascii="Times New Roman" w:hAnsi="Times New Roman" w:cs="Times New Roman"/>
          <w:b/>
          <w:i/>
        </w:rPr>
        <w:t>Climate intentions:</w:t>
      </w:r>
      <w:r w:rsidRPr="00537842">
        <w:rPr>
          <w:rFonts w:ascii="Times New Roman" w:hAnsi="Times New Roman" w:cs="Times New Roman"/>
        </w:rPr>
        <w:t xml:space="preserve"> Personal intentions to act to address climate change were measured using a 3-item scale developed by van der Linden </w:t>
      </w:r>
      <w:r w:rsidRPr="00537842">
        <w:rPr>
          <w:rFonts w:ascii="Times New Roman" w:hAnsi="Times New Roman" w:cs="Times New Roman"/>
        </w:rPr>
        <w:fldChar w:fldCharType="begin" w:fldLock="1"/>
      </w:r>
      <w:r w:rsidR="00F72B98">
        <w:rPr>
          <w:rFonts w:ascii="Times New Roman" w:hAnsi="Times New Roman" w:cs="Times New Roman"/>
        </w:rPr>
        <w:instrText>ADDIN CSL_CITATION { "citationItems" : [ { "id" : "ITEM-1", "itemData" : { "author" : [ { "dropping-particle" : "", "family" : "Linden", "given" : "Sander L.", "non-dropping-particle" : "van der", "parse-names" : false, "suffix" : "" } ], "id" : "ITEM-1", "issued" : { "date-parts" : [ [ "2014" ] ] }, "number-of-pages" : "365", "publisher" : "The London School of Economics and Political Science", "title" : "The social-psychological determinants of climate change risk perceptions, intentions and behaviours: a national study.", "type" : "thesis" }, "uris" : [ "http://www.mendeley.com/documents/?uuid=36606f84-ee3b-4a30-8510-3683e3684d3b" ] } ], "mendeley" : { "formattedCitation" : "[2]", "plainTextFormattedCitation" : "[2]", "previouslyFormattedCitation" : "[2]" }, "properties" : {  }, "schema" : "https://github.com/citation-style-language/schema/raw/master/csl-citation.json" }</w:instrText>
      </w:r>
      <w:r w:rsidRPr="00537842">
        <w:rPr>
          <w:rFonts w:ascii="Times New Roman" w:hAnsi="Times New Roman" w:cs="Times New Roman"/>
        </w:rPr>
        <w:fldChar w:fldCharType="separate"/>
      </w:r>
      <w:r w:rsidR="00F72B98" w:rsidRPr="00F72B98">
        <w:rPr>
          <w:rFonts w:ascii="Times New Roman" w:hAnsi="Times New Roman" w:cs="Times New Roman"/>
          <w:noProof/>
        </w:rPr>
        <w:t>[2]</w:t>
      </w:r>
      <w:r w:rsidRPr="00537842">
        <w:rPr>
          <w:rFonts w:ascii="Times New Roman" w:hAnsi="Times New Roman" w:cs="Times New Roman"/>
        </w:rPr>
        <w:fldChar w:fldCharType="end"/>
      </w:r>
      <w:r w:rsidRPr="00537842">
        <w:rPr>
          <w:rFonts w:ascii="Times New Roman" w:hAnsi="Times New Roman" w:cs="Times New Roman"/>
        </w:rPr>
        <w:t xml:space="preserve">. Rather than focusing on specific actions, this scale captures an overall general intent (example: </w:t>
      </w:r>
      <w:r w:rsidRPr="00537842">
        <w:rPr>
          <w:rFonts w:ascii="Times New Roman" w:hAnsi="Times New Roman" w:cs="Times New Roman"/>
          <w:i/>
        </w:rPr>
        <w:t>I intend to do my bit to help tackle climate change</w:t>
      </w:r>
      <w:r w:rsidRPr="00537842">
        <w:rPr>
          <w:rFonts w:ascii="Times New Roman" w:hAnsi="Times New Roman" w:cs="Times New Roman"/>
        </w:rPr>
        <w:t>). Participants indicated their agreement with the statements on a Likert scale ranging from 1 (</w:t>
      </w:r>
      <w:r w:rsidRPr="00537842">
        <w:rPr>
          <w:rFonts w:ascii="Times New Roman" w:hAnsi="Times New Roman" w:cs="Times New Roman"/>
          <w:i/>
        </w:rPr>
        <w:t>Strongly disagree</w:t>
      </w:r>
      <w:r w:rsidRPr="00537842">
        <w:rPr>
          <w:rFonts w:ascii="Times New Roman" w:hAnsi="Times New Roman" w:cs="Times New Roman"/>
        </w:rPr>
        <w:t>) to 7 (</w:t>
      </w:r>
      <w:r w:rsidRPr="00537842">
        <w:rPr>
          <w:rFonts w:ascii="Times New Roman" w:hAnsi="Times New Roman" w:cs="Times New Roman"/>
          <w:i/>
        </w:rPr>
        <w:t>Strongly agree</w:t>
      </w:r>
      <w:r w:rsidRPr="00537842">
        <w:rPr>
          <w:rFonts w:ascii="Times New Roman" w:hAnsi="Times New Roman" w:cs="Times New Roman"/>
        </w:rPr>
        <w:t>). The scale displayed excellent reliability (</w:t>
      </w:r>
      <w:r w:rsidRPr="00537842">
        <w:rPr>
          <w:rFonts w:ascii="Times New Roman" w:hAnsi="Times New Roman" w:cs="Times New Roman"/>
          <w:i/>
        </w:rPr>
        <w:t>α</w:t>
      </w:r>
      <w:r w:rsidRPr="00537842">
        <w:rPr>
          <w:rFonts w:ascii="Times New Roman" w:hAnsi="Times New Roman" w:cs="Times New Roman"/>
        </w:rPr>
        <w:t xml:space="preserve"> = .94), higher than that reported by van der Linden (</w:t>
      </w:r>
      <w:r w:rsidRPr="00537842">
        <w:rPr>
          <w:rFonts w:ascii="Times New Roman" w:hAnsi="Times New Roman" w:cs="Times New Roman"/>
          <w:i/>
        </w:rPr>
        <w:t>α</w:t>
      </w:r>
      <w:r w:rsidRPr="00537842">
        <w:rPr>
          <w:rFonts w:ascii="Times New Roman" w:hAnsi="Times New Roman" w:cs="Times New Roman"/>
        </w:rPr>
        <w:t xml:space="preserve"> = .85),</w:t>
      </w:r>
    </w:p>
    <w:p w:rsidR="00366B1A" w:rsidRPr="00537842" w:rsidRDefault="00366B1A" w:rsidP="00366B1A">
      <w:pPr>
        <w:spacing w:line="480" w:lineRule="auto"/>
        <w:ind w:firstLine="720"/>
        <w:rPr>
          <w:rFonts w:ascii="Times New Roman" w:hAnsi="Times New Roman" w:cs="Times New Roman"/>
        </w:rPr>
      </w:pPr>
      <w:r w:rsidRPr="00537842">
        <w:rPr>
          <w:rFonts w:ascii="Times New Roman" w:hAnsi="Times New Roman" w:cs="Times New Roman"/>
          <w:b/>
          <w:i/>
        </w:rPr>
        <w:t>Climate policy support:</w:t>
      </w:r>
      <w:r w:rsidRPr="00537842">
        <w:rPr>
          <w:rFonts w:ascii="Times New Roman" w:hAnsi="Times New Roman" w:cs="Times New Roman"/>
        </w:rPr>
        <w:t xml:space="preserve"> An </w:t>
      </w:r>
      <w:r w:rsidRPr="00537842">
        <w:rPr>
          <w:rFonts w:ascii="Times New Roman" w:hAnsi="Times New Roman" w:cs="Times New Roman"/>
          <w:i/>
        </w:rPr>
        <w:t>ad hoc</w:t>
      </w:r>
      <w:r w:rsidRPr="00537842">
        <w:rPr>
          <w:rFonts w:ascii="Times New Roman" w:hAnsi="Times New Roman" w:cs="Times New Roman"/>
        </w:rPr>
        <w:t xml:space="preserve"> policy support scale was constructed to measure participants’ support for climate mitigation policy options.  The design was modelled on previous scales </w:t>
      </w:r>
      <w:r w:rsidRPr="00537842">
        <w:rPr>
          <w:rFonts w:ascii="Times New Roman" w:hAnsi="Times New Roman" w:cs="Times New Roman"/>
        </w:rPr>
        <w:fldChar w:fldCharType="begin" w:fldLock="1"/>
      </w:r>
      <w:r w:rsidR="00F72B98">
        <w:rPr>
          <w:rFonts w:ascii="Times New Roman" w:hAnsi="Times New Roman" w:cs="Times New Roman"/>
        </w:rPr>
        <w:instrText>ADDIN CSL_CITATION { "citationItems" : [ { "id" : "ITEM-1", "itemData" : { "DOI" : "10.1007/s10584-006-9059-9", "ISSN" : "0165-0009", "author" : [ { "dropping-particle" : "", "family" : "Leiserowitz", "given" : "Anthony", "non-dropping-particle" : "", "parse-names" : false, "suffix" : "" } ], "container-title" : "Climatic Change", "id" : "ITEM-1", "issue" : "1-2", "issued" : { "date-parts" : [ [ "2006", "8", "21" ] ] }, "page" : "45-72", "title" : "Climate change risk perception and policy preferences: The role of affect, imagery, and values", "type" : "article-journal", "volume" : "77" }, "uris" : [ "http://www.mendeley.com/documents/?uuid=e9f4eae7-1220-33f9-8dee-ed1f9469c4f1" ] }, { "id" : "ITEM-2", "itemData" : { "DOI" : "10.1526/003601107781170026", "ISSN" : "00360112", "author" : [ { "dropping-particle" : "", "family" : "Dietz", "given" : "Thomas", "non-dropping-particle" : "", "parse-names" : false, "suffix" : "" }, { "dropping-particle" : "", "family" : "Dan", "given" : "Amy", "non-dropping-particle" : "", "parse-names" : false, "suffix" : "" }, { "dropping-particle" : "", "family" : "Shwom", "given" : "Rachael", "non-dropping-particle" : "", "parse-names" : false, "suffix" : "" } ], "container-title" : "Rural Sociology", "id" : "ITEM-2", "issue" : "2", "issued" : { "date-parts" : [ [ "2007", "6", "1" ] ] }, "page" : "185-214", "title" : "Support for climate change policy: Social psychological and social structural influences", "type" : "article-journal", "volume" : "72" }, "prefix" : "e.g.,", "uris" : [ "http://www.mendeley.com/documents/?uuid=3ef983eb-444d-3059-b852-b14386479bd2" ] } ], "mendeley" : { "formattedCitation" : "[3,e.g., ,4]", "plainTextFormattedCitation" : "[3,e.g., ,4]", "previouslyFormattedCitation" : "[3,e.g., ,4]" }, "properties" : {  }, "schema" : "https://github.com/citation-style-language/schema/raw/master/csl-citation.json" }</w:instrText>
      </w:r>
      <w:r w:rsidRPr="00537842">
        <w:rPr>
          <w:rFonts w:ascii="Times New Roman" w:hAnsi="Times New Roman" w:cs="Times New Roman"/>
        </w:rPr>
        <w:fldChar w:fldCharType="separate"/>
      </w:r>
      <w:r w:rsidR="00F72B98" w:rsidRPr="00F72B98">
        <w:rPr>
          <w:rFonts w:ascii="Times New Roman" w:hAnsi="Times New Roman" w:cs="Times New Roman"/>
          <w:noProof/>
        </w:rPr>
        <w:t>[3,e.g., ,4]</w:t>
      </w:r>
      <w:r w:rsidRPr="00537842">
        <w:rPr>
          <w:rFonts w:ascii="Times New Roman" w:hAnsi="Times New Roman" w:cs="Times New Roman"/>
        </w:rPr>
        <w:fldChar w:fldCharType="end"/>
      </w:r>
      <w:r w:rsidRPr="00537842">
        <w:rPr>
          <w:rFonts w:ascii="Times New Roman" w:hAnsi="Times New Roman" w:cs="Times New Roman"/>
        </w:rPr>
        <w:t xml:space="preserve"> but incorporated four real world, New Zealand-specific climate change mitigation policy options drawn from media reports and policy documents </w:t>
      </w:r>
      <w:r w:rsidRPr="00537842">
        <w:rPr>
          <w:rFonts w:ascii="Times New Roman" w:hAnsi="Times New Roman" w:cs="Times New Roman"/>
        </w:rPr>
        <w:fldChar w:fldCharType="begin" w:fldLock="1"/>
      </w:r>
      <w:r w:rsidR="00F72B98">
        <w:rPr>
          <w:rFonts w:ascii="Times New Roman" w:hAnsi="Times New Roman" w:cs="Times New Roman"/>
        </w:rPr>
        <w:instrText>ADDIN CSL_CITATION { "citationItems" : [ { "id" : "ITEM-1", "itemData" : { "abstract" : "The Climate Agreement adopted at the UN Climate Change Conference in Paris in December 2015, and supported by 195 countries, gave us a timely reminder that all New Zealanders need to understand the need for meaningful action on climate change. New Zealand must contribute effectively to the global effort to avoid dangerous climate change. New Zealand is already experiencing, for example, more frequent floods, storms and droughts, scrub and forest fires causing damage to the environment and people's livelihoods. The good news is that there are many opportunities to limit climate change by reducing our greenhouse gas emissions, the main cause of climate change or global warming as it is often called. New Zealand can also prepare for and adapt to living in a changing climate. While there is some uncertainty about the size and timing of changes, it is certain that it is happening and acting now to protect our environment, economy and culture will always be worthwhile. To consider how to deal with climate change, New Zealand needs to have the evidence to hand, presented in a clear and understandable way, so people can see how they can and should contribute. Last year, the Royal Society of New Zealand established two expert panels: the first to present evidence on the impact of climate change on New Zealand, and the second to provide possible options New Zealand might take to reduce its greenhouse gas emissions.", "author" : [ { "dropping-particle" : "", "family" : "Royal Society of New Zealand", "given" : "", "non-dropping-particle" : "", "parse-names" : false, "suffix" : "" } ], "id" : "ITEM-1", "issued" : { "date-parts" : [ [ "2016" ] ] }, "publisher-place" : "Wellinton", "title" : "Transition to a low-carbon economy for New Zealand", "type" : "report" }, "uris" : [ "http://www.mendeley.com/documents/?uuid=a667c972-7c59-3d20-9878-0676c9141fc1" ] }, { "id" : "ITEM-2", "itemData" : { "author" : [ { "dropping-particle" : "", "family" : "Parliamentary Commissioner for the Environment", "given" : "", "non-dropping-particle" : "", "parse-names" : false, "suffix" : "" } ], "id" : "ITEM-2", "issued" : { "date-parts" : [ [ "2016" ] ] }, "number-of-pages" : "100", "publisher-place" : "Wellington, NZ", "title" : "Climate change and agriculture: Understanding the biological greenhouse gases", "type" : "report" }, "uris" : [ "http://www.mendeley.com/documents/?uuid=5b152435-c1e2-3d7d-911c-8650bef1bc2a" ] }, { "id" : "ITEM-3", "itemData" : { "URL" : "https://www.greaterauckland.org.nz/2016/11/17/guest-post-carbon-taxes-and-the-nz-economy/", "accessed" : { "date-parts" : [ [ "2017", "8", "23" ] ] }, "author" : [ { "dropping-particle" : "", "family" : "Polkinghorne", "given" : "John", "non-dropping-particle" : "", "parse-names" : false, "suffix" : "" } ], "id" : "ITEM-3", "issued" : { "date-parts" : [ [ "2016" ] ] }, "title" : "Guest post: carbon taxes and the NZ economy - Greater Auckland", "type" : "webpage" }, "uris" : [ "http://www.mendeley.com/documents/?uuid=310e0bf8-86b2-3d53-bdf3-e672f77eaeb7" ] } ], "mendeley" : { "formattedCitation" : "[5\u20137]", "plainTextFormattedCitation" : "[5\u20137]", "previouslyFormattedCitation" : "[5\u20137]" }, "properties" : {  }, "schema" : "https://github.com/citation-style-language/schema/raw/master/csl-citation.json" }</w:instrText>
      </w:r>
      <w:r w:rsidRPr="00537842">
        <w:rPr>
          <w:rFonts w:ascii="Times New Roman" w:hAnsi="Times New Roman" w:cs="Times New Roman"/>
        </w:rPr>
        <w:fldChar w:fldCharType="separate"/>
      </w:r>
      <w:r w:rsidR="00F72B98" w:rsidRPr="00F72B98">
        <w:rPr>
          <w:rFonts w:ascii="Times New Roman" w:hAnsi="Times New Roman" w:cs="Times New Roman"/>
          <w:noProof/>
        </w:rPr>
        <w:t>[5–7]</w:t>
      </w:r>
      <w:r w:rsidRPr="00537842">
        <w:rPr>
          <w:rFonts w:ascii="Times New Roman" w:hAnsi="Times New Roman" w:cs="Times New Roman"/>
        </w:rPr>
        <w:fldChar w:fldCharType="end"/>
      </w:r>
      <w:r w:rsidRPr="00537842">
        <w:rPr>
          <w:rFonts w:ascii="Times New Roman" w:hAnsi="Times New Roman" w:cs="Times New Roman"/>
        </w:rPr>
        <w:t xml:space="preserve">. For these items and the GM policy items detailed below, participants were provided with the following instructions:  </w:t>
      </w:r>
      <w:r w:rsidRPr="00537842">
        <w:rPr>
          <w:rFonts w:ascii="Times New Roman" w:hAnsi="Times New Roman" w:cs="Times New Roman"/>
          <w:i/>
        </w:rPr>
        <w:t xml:space="preserve">Below are </w:t>
      </w:r>
      <w:r w:rsidRPr="00537842">
        <w:rPr>
          <w:rFonts w:ascii="Times New Roman" w:hAnsi="Times New Roman" w:cs="Times New Roman"/>
          <w:i/>
        </w:rPr>
        <w:lastRenderedPageBreak/>
        <w:t>some actions the New Zealand government could take in relation to climate change or GM food. Please let us know how much you would support or oppose these policies</w:t>
      </w:r>
      <w:r w:rsidRPr="00537842">
        <w:rPr>
          <w:rFonts w:ascii="Times New Roman" w:hAnsi="Times New Roman" w:cs="Times New Roman"/>
        </w:rPr>
        <w:t xml:space="preserve"> (example item: </w:t>
      </w:r>
      <w:r w:rsidRPr="00537842">
        <w:rPr>
          <w:rFonts w:ascii="Times New Roman" w:hAnsi="Times New Roman" w:cs="Times New Roman"/>
          <w:i/>
        </w:rPr>
        <w:t>Providing tax rebates for people who purchase electric vehicles</w:t>
      </w:r>
      <w:r w:rsidRPr="00537842">
        <w:rPr>
          <w:rFonts w:ascii="Times New Roman" w:hAnsi="Times New Roman" w:cs="Times New Roman"/>
        </w:rPr>
        <w:t>). Participants indicated their level of support for each policy on a 5-point scale ranging from 1 (</w:t>
      </w:r>
      <w:r w:rsidRPr="00537842">
        <w:rPr>
          <w:rFonts w:ascii="Times New Roman" w:hAnsi="Times New Roman" w:cs="Times New Roman"/>
          <w:i/>
        </w:rPr>
        <w:t>strongly oppose</w:t>
      </w:r>
      <w:r w:rsidRPr="00537842">
        <w:rPr>
          <w:rFonts w:ascii="Times New Roman" w:hAnsi="Times New Roman" w:cs="Times New Roman"/>
        </w:rPr>
        <w:t>) to 5 (</w:t>
      </w:r>
      <w:r w:rsidRPr="00537842">
        <w:rPr>
          <w:rFonts w:ascii="Times New Roman" w:hAnsi="Times New Roman" w:cs="Times New Roman"/>
          <w:i/>
        </w:rPr>
        <w:t>strongly support</w:t>
      </w:r>
      <w:r w:rsidRPr="00537842">
        <w:rPr>
          <w:rFonts w:ascii="Times New Roman" w:hAnsi="Times New Roman" w:cs="Times New Roman"/>
        </w:rPr>
        <w:t>). The reliability of this scale was poor (</w:t>
      </w:r>
      <w:r w:rsidRPr="00537842">
        <w:rPr>
          <w:rFonts w:ascii="Times New Roman" w:hAnsi="Times New Roman" w:cs="Times New Roman"/>
          <w:i/>
        </w:rPr>
        <w:t>α</w:t>
      </w:r>
      <w:r w:rsidRPr="00537842">
        <w:rPr>
          <w:rFonts w:ascii="Times New Roman" w:hAnsi="Times New Roman" w:cs="Times New Roman"/>
        </w:rPr>
        <w:t xml:space="preserve"> = .56), however Cronbach’s </w:t>
      </w:r>
      <w:r w:rsidRPr="00537842">
        <w:rPr>
          <w:rFonts w:ascii="Times New Roman" w:hAnsi="Times New Roman" w:cs="Times New Roman"/>
          <w:i/>
        </w:rPr>
        <w:t>α</w:t>
      </w:r>
      <w:r w:rsidRPr="00537842">
        <w:rPr>
          <w:rFonts w:ascii="Times New Roman" w:hAnsi="Times New Roman" w:cs="Times New Roman"/>
        </w:rPr>
        <w:t xml:space="preserve"> tends to be artificially deflated when there are only a small number of items in a scale. The mean inter-item correlation was .25 and the corrected item-total correlations for all items were above .30 which, as a rule of thumb, indicates that the items are measuring the same construct and could be usefully retained </w:t>
      </w:r>
      <w:r w:rsidRPr="00537842">
        <w:rPr>
          <w:rFonts w:ascii="Times New Roman" w:hAnsi="Times New Roman" w:cs="Times New Roman"/>
        </w:rPr>
        <w:fldChar w:fldCharType="begin" w:fldLock="1"/>
      </w:r>
      <w:r w:rsidR="00F72B98">
        <w:rPr>
          <w:rFonts w:ascii="Times New Roman" w:hAnsi="Times New Roman" w:cs="Times New Roman"/>
        </w:rPr>
        <w:instrText>ADDIN CSL_CITATION { "citationItems" : [ { "id" : "ITEM-1", "itemData" : { "author" : [ { "dropping-particle" : "", "family" : "Field", "given" : "Andy", "non-dropping-particle" : "", "parse-names" : false, "suffix" : "" } ], "edition" : "3rd", "id" : "ITEM-1", "issued" : { "date-parts" : [ [ "2009" ] ] }, "number-of-pages" : "856", "publisher" : "SAGE Publications", "publisher-place" : "London", "title" : "Discovering statistics using SPSS", "type" : "book" }, "uris" : [ "http://www.mendeley.com/documents/?uuid=227b99de-2859-4611-95e2-6b92c0a1f96a" ] } ], "mendeley" : { "formattedCitation" : "[8]", "plainTextFormattedCitation" : "[8]", "previouslyFormattedCitation" : "[8]" }, "properties" : {  }, "schema" : "https://github.com/citation-style-language/schema/raw/master/csl-citation.json" }</w:instrText>
      </w:r>
      <w:r w:rsidRPr="00537842">
        <w:rPr>
          <w:rFonts w:ascii="Times New Roman" w:hAnsi="Times New Roman" w:cs="Times New Roman"/>
        </w:rPr>
        <w:fldChar w:fldCharType="separate"/>
      </w:r>
      <w:r w:rsidR="00F72B98" w:rsidRPr="00F72B98">
        <w:rPr>
          <w:rFonts w:ascii="Times New Roman" w:hAnsi="Times New Roman" w:cs="Times New Roman"/>
          <w:noProof/>
        </w:rPr>
        <w:t>[8]</w:t>
      </w:r>
      <w:r w:rsidRPr="00537842">
        <w:rPr>
          <w:rFonts w:ascii="Times New Roman" w:hAnsi="Times New Roman" w:cs="Times New Roman"/>
        </w:rPr>
        <w:fldChar w:fldCharType="end"/>
      </w:r>
      <w:r w:rsidRPr="00537842">
        <w:rPr>
          <w:rFonts w:ascii="Times New Roman" w:hAnsi="Times New Roman" w:cs="Times New Roman"/>
        </w:rPr>
        <w:t>.</w:t>
      </w:r>
    </w:p>
    <w:p w:rsidR="00366B1A" w:rsidRPr="00537842" w:rsidRDefault="00366B1A" w:rsidP="00366B1A">
      <w:pPr>
        <w:spacing w:line="480" w:lineRule="auto"/>
        <w:ind w:firstLine="720"/>
        <w:rPr>
          <w:rFonts w:ascii="Times New Roman" w:hAnsi="Times New Roman" w:cs="Times New Roman"/>
        </w:rPr>
      </w:pPr>
      <w:r w:rsidRPr="00537842">
        <w:rPr>
          <w:rFonts w:ascii="Times New Roman" w:hAnsi="Times New Roman" w:cs="Times New Roman"/>
          <w:b/>
          <w:i/>
        </w:rPr>
        <w:t>GM intentions:</w:t>
      </w:r>
      <w:r w:rsidRPr="00537842">
        <w:rPr>
          <w:rFonts w:ascii="Times New Roman" w:hAnsi="Times New Roman" w:cs="Times New Roman"/>
        </w:rPr>
        <w:t xml:space="preserve"> Participants’ personal intentions regarding GM food (eating, purchasing and checking labels) were measured using a 4-item scale adapted from </w:t>
      </w:r>
      <w:r w:rsidRPr="00537842">
        <w:rPr>
          <w:rFonts w:ascii="Times New Roman" w:hAnsi="Times New Roman" w:cs="Times New Roman"/>
          <w:noProof/>
        </w:rPr>
        <w:t>Spence and Townsend</w:t>
      </w:r>
      <w:r w:rsidRPr="00537842">
        <w:rPr>
          <w:rFonts w:ascii="Times New Roman" w:hAnsi="Times New Roman" w:cs="Times New Roman"/>
        </w:rPr>
        <w:t xml:space="preserve"> </w:t>
      </w:r>
      <w:r w:rsidRPr="00537842">
        <w:rPr>
          <w:rFonts w:ascii="Times New Roman" w:hAnsi="Times New Roman" w:cs="Times New Roman"/>
        </w:rPr>
        <w:fldChar w:fldCharType="begin" w:fldLock="1"/>
      </w:r>
      <w:r w:rsidR="00F72B98">
        <w:rPr>
          <w:rFonts w:ascii="Times New Roman" w:hAnsi="Times New Roman" w:cs="Times New Roman"/>
        </w:rPr>
        <w:instrText>ADDIN CSL_CITATION { "citationItems" : [ { "id" : "ITEM-1", "itemData" : { "DOI" : "10.1111/j.1539-6924.2006.00777.x", "ISSN" : "0272-4332", "PMID" : "16834625", "abstract" : "This study examined behavior toward genetically modified (GM) food in a British community-based sample. We used an equivalent gain task in which participants actually received the options they chose to encourage truthful responding. In conjunction with this, theory of planned behavior (TPB) components were evaluated so as to examine the relative importance of behavioral influences in this domain. Here, the TPB was extended to include additional components to measure self-identity, moral norms, and emotional involvement. Results indicated that the monetary amounts participants accepted in preference to GM food were significantly lower than those accepted in preference to non-GM food. However, the vast majority of participants were indifferent between GM and non-GM food options. All TPB components significantly predicted behavioral intentions to try GM food, with attitudes toward GM being the strongest predictor. Self-identity and emotional involvement were also found to be significant predictors of behavioral intentions but moral norms were not. In addition, behavioral intentions significantly predicted behavior; however, PBC did not. An additional measure of participants' propensity to respond in a socially desirable manner indicated that our results were not influenced by self-presentation issues, giving confidence to our findings. Overall, it appears that the majority of participants (74.5%) would purchase GM food at some price.", "author" : [ { "dropping-particle" : "", "family" : "Spence", "given" : "Alexa", "non-dropping-particle" : "", "parse-names" : false, "suffix" : "" }, { "dropping-particle" : "", "family" : "Townsend", "given" : "Ellen", "non-dropping-particle" : "", "parse-names" : false, "suffix" : "" } ], "container-title" : "Risk Analysis", "id" : "ITEM-1", "issue" : "3", "issued" : { "date-parts" : [ [ "2006", "6" ] ] }, "page" : "657-670", "title" : "Examining consumer behavior toward genetically modified (GM) food in Britain", "type" : "article-journal", "volume" : "26" }, "suppress-author" : 1, "uris" : [ "http://www.mendeley.com/documents/?uuid=874d8bd7-4d94-3af3-ac39-cfba1b54fdf1" ] } ], "mendeley" : { "formattedCitation" : "[9]", "plainTextFormattedCitation" : "[9]", "previouslyFormattedCitation" : "[9]" }, "properties" : {  }, "schema" : "https://github.com/citation-style-language/schema/raw/master/csl-citation.json" }</w:instrText>
      </w:r>
      <w:r w:rsidRPr="00537842">
        <w:rPr>
          <w:rFonts w:ascii="Times New Roman" w:hAnsi="Times New Roman" w:cs="Times New Roman"/>
        </w:rPr>
        <w:fldChar w:fldCharType="separate"/>
      </w:r>
      <w:r w:rsidR="00F72B98" w:rsidRPr="00F72B98">
        <w:rPr>
          <w:rFonts w:ascii="Times New Roman" w:hAnsi="Times New Roman" w:cs="Times New Roman"/>
          <w:noProof/>
        </w:rPr>
        <w:t>[9]</w:t>
      </w:r>
      <w:r w:rsidRPr="00537842">
        <w:rPr>
          <w:rFonts w:ascii="Times New Roman" w:hAnsi="Times New Roman" w:cs="Times New Roman"/>
        </w:rPr>
        <w:fldChar w:fldCharType="end"/>
      </w:r>
      <w:r w:rsidRPr="00537842">
        <w:rPr>
          <w:rFonts w:ascii="Times New Roman" w:hAnsi="Times New Roman" w:cs="Times New Roman"/>
        </w:rPr>
        <w:t xml:space="preserve">. Two additional items were added to the original 2-item scale to improve reliability (example item: </w:t>
      </w:r>
      <w:r w:rsidRPr="00537842">
        <w:rPr>
          <w:rFonts w:ascii="Times New Roman" w:hAnsi="Times New Roman" w:cs="Times New Roman"/>
          <w:i/>
        </w:rPr>
        <w:t>I intend to never buy food containing GM ingredients</w:t>
      </w:r>
      <w:r w:rsidRPr="00537842">
        <w:rPr>
          <w:rFonts w:ascii="Times New Roman" w:hAnsi="Times New Roman" w:cs="Times New Roman"/>
        </w:rPr>
        <w:t>). Responses were captured on a 7-point Likert scale. The scale displayed good reliability (</w:t>
      </w:r>
      <w:r w:rsidRPr="00537842">
        <w:rPr>
          <w:rFonts w:ascii="Times New Roman" w:hAnsi="Times New Roman" w:cs="Times New Roman"/>
          <w:i/>
        </w:rPr>
        <w:t>α</w:t>
      </w:r>
      <w:r w:rsidRPr="00537842">
        <w:rPr>
          <w:rFonts w:ascii="Times New Roman" w:hAnsi="Times New Roman" w:cs="Times New Roman"/>
        </w:rPr>
        <w:t xml:space="preserve"> = .86). </w:t>
      </w:r>
    </w:p>
    <w:p w:rsidR="00366B1A" w:rsidRPr="00537842" w:rsidRDefault="00366B1A" w:rsidP="00366B1A">
      <w:pPr>
        <w:spacing w:line="480" w:lineRule="auto"/>
        <w:ind w:firstLine="720"/>
        <w:rPr>
          <w:rFonts w:ascii="Times New Roman" w:hAnsi="Times New Roman" w:cs="Times New Roman"/>
        </w:rPr>
      </w:pPr>
      <w:r w:rsidRPr="00537842">
        <w:rPr>
          <w:rFonts w:ascii="Times New Roman" w:hAnsi="Times New Roman" w:cs="Times New Roman"/>
          <w:b/>
          <w:i/>
        </w:rPr>
        <w:t>GM policy support:</w:t>
      </w:r>
      <w:r w:rsidRPr="00537842">
        <w:rPr>
          <w:rFonts w:ascii="Times New Roman" w:hAnsi="Times New Roman" w:cs="Times New Roman"/>
        </w:rPr>
        <w:t xml:space="preserve"> As with the climate policy support scale, GM policy preferences were measured using an </w:t>
      </w:r>
      <w:r w:rsidRPr="00537842">
        <w:rPr>
          <w:rFonts w:ascii="Times New Roman" w:hAnsi="Times New Roman" w:cs="Times New Roman"/>
          <w:i/>
        </w:rPr>
        <w:t>ad hoc</w:t>
      </w:r>
      <w:r w:rsidRPr="00537842">
        <w:rPr>
          <w:rFonts w:ascii="Times New Roman" w:hAnsi="Times New Roman" w:cs="Times New Roman"/>
        </w:rPr>
        <w:t xml:space="preserve"> scale comprised of four New Zealand policy options sourced from the media and policy documents </w:t>
      </w:r>
      <w:r w:rsidRPr="00537842">
        <w:rPr>
          <w:rFonts w:ascii="Times New Roman" w:hAnsi="Times New Roman" w:cs="Times New Roman"/>
        </w:rPr>
        <w:fldChar w:fldCharType="begin" w:fldLock="1"/>
      </w:r>
      <w:r w:rsidR="00F72B98">
        <w:rPr>
          <w:rFonts w:ascii="Times New Roman" w:hAnsi="Times New Roman" w:cs="Times New Roman"/>
        </w:rPr>
        <w:instrText>ADDIN CSL_CITATION { "citationItems" : [ { "id" : "ITEM-1", "itemData" : { "URL" : "http://www.nzherald.co.nz/business/news/article.cfm?c_id=3&amp;objectid=10833317", "accessed" : { "date-parts" : [ [ "2017", "8", "23" ] ] }, "author" : [ { "dropping-particle" : "", "family" : "Peters", "given" : "Graeme", "non-dropping-particle" : "", "parse-names" : false, "suffix" : "" }, { "dropping-particle" : "", "family" : "Heinemann", "given" : "Jack", "non-dropping-particle" : "", "parse-names" : false, "suffix" : "" } ], "container-title" : "New Zealand Herald", "id" : "ITEM-1", "issued" : { "date-parts" : [ [ "2012" ] ] }, "title" : "Should NZ grow genetically modified crops? - NZ Herald", "type" : "webpage" }, "uris" : [ "http://www.mendeley.com/documents/?uuid=583add5a-4ac9-3f0c-8d6d-ee3190b792e3" ] }, { "id" : "ITEM-2", "itemData" : { "URL" : "http://www.stuff.co.nz/business/farming/78586826/nz-will-have-to-allow-gm-food-to-keep-up-with-other-countries", "accessed" : { "date-parts" : [ [ "2017", "8", "23" ] ] }, "author" : [ { "dropping-particle" : "", "family" : "Galloway", "given" : "Jill", "non-dropping-particle" : "", "parse-names" : false, "suffix" : "" } ], "container-title" : "NZ Farmer", "id" : "ITEM-2", "issued" : { "date-parts" : [ [ "2016" ] ] }, "title" : "NZ will have to allow GM food to keep up with other countries | Stuff.co.nz", "type" : "webpage" }, "uris" : [ "http://www.mendeley.com/documents/?uuid=2b26c390-ce51-3aad-8ac6-dfbc71199b51" ] }, { "id" : "ITEM-3", "itemData" : { "URL" : "http://press.gefree.org.nz/press/20160823.htm", "accessed" : { "date-parts" : [ [ "2017", "8", "23" ] ] }, "author" : [ { "dropping-particle" : "", "family" : "GE Free NZ", "given" : "", "non-dropping-particle" : "", "parse-names" : false, "suffix" : "" } ], "id" : "ITEM-3", "issued" : { "date-parts" : [ [ "2016" ] ] }, "title" : "Proposal to stop labelling of GM food would deny consumers basic right to know.", "type" : "webpage" }, "uris" : [ "http://www.mendeley.com/documents/?uuid=d4f9918e-20e0-39fd-91f1-bb0c4ff77a75" ] }, { "id" : "ITEM-4", "itemData" : { "author" : [ { "dropping-particle" : "", "family" : "NZ Parliament", "given" : "", "non-dropping-particle" : "", "parse-names" : false, "suffix" : "" } ], "id" : "ITEM-4", "issued" : { "date-parts" : [ [ "2015" ] ] }, "number-of-pages" : "5", "publisher-place" : "Wellington, NZ", "title" : "Primary Production Committee report on Petition 2011/68 of Jon Muller", "type" : "report" }, "uris" : [ "http://www.mendeley.com/documents/?uuid=7c5f6e82-bb4e-3339-b50c-c85ebab2f8fe" ] } ], "mendeley" : { "formattedCitation" : "[10\u201313]", "plainTextFormattedCitation" : "[10\u201313]", "previouslyFormattedCitation" : "[10\u201313]" }, "properties" : {  }, "schema" : "https://github.com/citation-style-language/schema/raw/master/csl-citation.json" }</w:instrText>
      </w:r>
      <w:r w:rsidRPr="00537842">
        <w:rPr>
          <w:rFonts w:ascii="Times New Roman" w:hAnsi="Times New Roman" w:cs="Times New Roman"/>
        </w:rPr>
        <w:fldChar w:fldCharType="separate"/>
      </w:r>
      <w:r w:rsidR="00F72B98" w:rsidRPr="00F72B98">
        <w:rPr>
          <w:rFonts w:ascii="Times New Roman" w:hAnsi="Times New Roman" w:cs="Times New Roman"/>
          <w:noProof/>
        </w:rPr>
        <w:t>[10–13]</w:t>
      </w:r>
      <w:r w:rsidRPr="00537842">
        <w:rPr>
          <w:rFonts w:ascii="Times New Roman" w:hAnsi="Times New Roman" w:cs="Times New Roman"/>
        </w:rPr>
        <w:fldChar w:fldCharType="end"/>
      </w:r>
      <w:r w:rsidRPr="00537842">
        <w:rPr>
          <w:rFonts w:ascii="Times New Roman" w:hAnsi="Times New Roman" w:cs="Times New Roman"/>
        </w:rPr>
        <w:t xml:space="preserve">. Most relevant policy discussion relating to GM food safety has focused on restrictions around GM food availability and labelling. As such, the wording of items in this scale means that higher values indicate greater support for restrictions and regulations for GM food (example: </w:t>
      </w:r>
      <w:r w:rsidRPr="00537842">
        <w:rPr>
          <w:rFonts w:ascii="Times New Roman" w:hAnsi="Times New Roman" w:cs="Times New Roman"/>
          <w:i/>
        </w:rPr>
        <w:t>Banning the sale of food containing GM ingredients in New Zealand</w:t>
      </w:r>
      <w:r w:rsidRPr="00537842">
        <w:rPr>
          <w:rFonts w:ascii="Times New Roman" w:hAnsi="Times New Roman" w:cs="Times New Roman"/>
        </w:rPr>
        <w:t>). Participants indicated their level of support for each policy on a 5-point scale ranging from 1 (</w:t>
      </w:r>
      <w:r w:rsidRPr="00537842">
        <w:rPr>
          <w:rFonts w:ascii="Times New Roman" w:hAnsi="Times New Roman" w:cs="Times New Roman"/>
          <w:i/>
        </w:rPr>
        <w:t>strongly oppose</w:t>
      </w:r>
      <w:r w:rsidRPr="00537842">
        <w:rPr>
          <w:rFonts w:ascii="Times New Roman" w:hAnsi="Times New Roman" w:cs="Times New Roman"/>
        </w:rPr>
        <w:t>) to 5 (</w:t>
      </w:r>
      <w:r w:rsidRPr="00537842">
        <w:rPr>
          <w:rFonts w:ascii="Times New Roman" w:hAnsi="Times New Roman" w:cs="Times New Roman"/>
          <w:i/>
        </w:rPr>
        <w:t>strongly support</w:t>
      </w:r>
      <w:r w:rsidRPr="00537842">
        <w:rPr>
          <w:rFonts w:ascii="Times New Roman" w:hAnsi="Times New Roman" w:cs="Times New Roman"/>
        </w:rPr>
        <w:t>).The scale displayed marginal acceptability (</w:t>
      </w:r>
      <w:r w:rsidRPr="00537842">
        <w:rPr>
          <w:rFonts w:ascii="Times New Roman" w:hAnsi="Times New Roman" w:cs="Times New Roman"/>
          <w:i/>
        </w:rPr>
        <w:t>α</w:t>
      </w:r>
      <w:r w:rsidRPr="00537842">
        <w:rPr>
          <w:rFonts w:ascii="Times New Roman" w:hAnsi="Times New Roman" w:cs="Times New Roman"/>
        </w:rPr>
        <w:t xml:space="preserve"> = .68).All corrected item-total correlations were greater than .30 and the mean inter-item correlation was .35. </w:t>
      </w:r>
    </w:p>
    <w:p w:rsidR="00366B1A" w:rsidRPr="00537842" w:rsidRDefault="00366B1A" w:rsidP="00054B96">
      <w:pPr>
        <w:rPr>
          <w:rFonts w:ascii="Times New Roman" w:hAnsi="Times New Roman" w:cs="Times New Roman"/>
          <w:b/>
        </w:rPr>
      </w:pPr>
      <w:r w:rsidRPr="00537842">
        <w:rPr>
          <w:rFonts w:ascii="Times New Roman" w:hAnsi="Times New Roman" w:cs="Times New Roman"/>
          <w:b/>
        </w:rPr>
        <w:t>Results</w:t>
      </w:r>
    </w:p>
    <w:p w:rsidR="00366B1A" w:rsidRPr="00537842" w:rsidRDefault="00366B1A" w:rsidP="00366B1A">
      <w:pPr>
        <w:spacing w:line="480" w:lineRule="auto"/>
        <w:ind w:firstLine="720"/>
        <w:rPr>
          <w:rFonts w:ascii="Times New Roman" w:hAnsi="Times New Roman" w:cs="Times New Roman"/>
        </w:rPr>
      </w:pPr>
      <w:r w:rsidRPr="00537842">
        <w:rPr>
          <w:rFonts w:ascii="Times New Roman" w:hAnsi="Times New Roman" w:cs="Times New Roman"/>
        </w:rPr>
        <w:t xml:space="preserve">A multivariate ANOVA found no significant differences between high and low consensus message and control conditions across all dependent climate variables, </w:t>
      </w:r>
      <w:r w:rsidRPr="00537842">
        <w:rPr>
          <w:rFonts w:ascii="Times New Roman" w:hAnsi="Times New Roman" w:cs="Times New Roman"/>
          <w:i/>
        </w:rPr>
        <w:t>F</w:t>
      </w:r>
      <w:r w:rsidRPr="00537842">
        <w:rPr>
          <w:rFonts w:ascii="Times New Roman" w:hAnsi="Times New Roman" w:cs="Times New Roman"/>
        </w:rPr>
        <w:t xml:space="preserve"> (8, 818) = .871, </w:t>
      </w:r>
      <w:r w:rsidRPr="00537842">
        <w:rPr>
          <w:rFonts w:ascii="Times New Roman" w:hAnsi="Times New Roman" w:cs="Times New Roman"/>
          <w:i/>
        </w:rPr>
        <w:t>p</w:t>
      </w:r>
      <w:r w:rsidRPr="00537842">
        <w:rPr>
          <w:rFonts w:ascii="Times New Roman" w:hAnsi="Times New Roman" w:cs="Times New Roman"/>
        </w:rPr>
        <w:t xml:space="preserve"> = .54; Wilk's </w:t>
      </w:r>
      <w:r w:rsidRPr="00537842">
        <w:rPr>
          <w:rFonts w:ascii="Times New Roman" w:hAnsi="Times New Roman" w:cs="Times New Roman"/>
          <w:i/>
        </w:rPr>
        <w:t>Λ</w:t>
      </w:r>
      <w:r w:rsidRPr="00537842">
        <w:rPr>
          <w:rFonts w:ascii="Times New Roman" w:hAnsi="Times New Roman" w:cs="Times New Roman"/>
        </w:rPr>
        <w:t xml:space="preserve"> = 0.983, η</w:t>
      </w:r>
      <w:r w:rsidRPr="00537842">
        <w:rPr>
          <w:rFonts w:ascii="Times New Roman" w:hAnsi="Times New Roman" w:cs="Times New Roman"/>
          <w:vertAlign w:val="subscript"/>
        </w:rPr>
        <w:t>p</w:t>
      </w:r>
      <w:r w:rsidRPr="00537842">
        <w:rPr>
          <w:rFonts w:ascii="Times New Roman" w:hAnsi="Times New Roman" w:cs="Times New Roman"/>
          <w:vertAlign w:val="superscript"/>
        </w:rPr>
        <w:t xml:space="preserve">2 </w:t>
      </w:r>
      <w:r w:rsidR="00B43D0C" w:rsidRPr="00537842">
        <w:rPr>
          <w:rFonts w:ascii="Times New Roman" w:hAnsi="Times New Roman" w:cs="Times New Roman"/>
        </w:rPr>
        <w:t>= .01 (table S</w:t>
      </w:r>
      <w:r w:rsidR="00537842" w:rsidRPr="00537842">
        <w:rPr>
          <w:rFonts w:ascii="Times New Roman" w:hAnsi="Times New Roman" w:cs="Times New Roman"/>
        </w:rPr>
        <w:t>2</w:t>
      </w:r>
      <w:r w:rsidR="00B43D0C" w:rsidRPr="00537842">
        <w:rPr>
          <w:rFonts w:ascii="Times New Roman" w:hAnsi="Times New Roman" w:cs="Times New Roman"/>
        </w:rPr>
        <w:t>.1</w:t>
      </w:r>
      <w:r w:rsidRPr="00537842">
        <w:rPr>
          <w:rFonts w:ascii="Times New Roman" w:hAnsi="Times New Roman" w:cs="Times New Roman"/>
        </w:rPr>
        <w:t xml:space="preserve">).  That is, participants who read a message about high or low consensus regarding the reality of human-caused climate change did not significantly differ from the </w:t>
      </w:r>
      <w:r w:rsidRPr="00537842">
        <w:rPr>
          <w:rFonts w:ascii="Times New Roman" w:hAnsi="Times New Roman" w:cs="Times New Roman"/>
        </w:rPr>
        <w:lastRenderedPageBreak/>
        <w:t xml:space="preserve">control group in terms of: belief in the reality of human-caused climate change, concern over climate change, intentions to personally act to mitigate climate change or support for climate change policies. This finding doesn’t support the Gateway Belief Model, which posits that interventions which change perceptions of consensus should also change personal beliefs about climate change. </w:t>
      </w:r>
    </w:p>
    <w:p w:rsidR="00366B1A" w:rsidRPr="00F72B98" w:rsidRDefault="00B43D0C" w:rsidP="00366B1A">
      <w:pPr>
        <w:spacing w:line="240" w:lineRule="auto"/>
        <w:rPr>
          <w:rFonts w:ascii="Times New Roman" w:hAnsi="Times New Roman" w:cs="Times New Roman"/>
          <w:b/>
        </w:rPr>
      </w:pPr>
      <w:r w:rsidRPr="00F72B98">
        <w:rPr>
          <w:rFonts w:ascii="Times New Roman" w:hAnsi="Times New Roman" w:cs="Times New Roman"/>
          <w:b/>
        </w:rPr>
        <w:t>Table S</w:t>
      </w:r>
      <w:r w:rsidR="00537842" w:rsidRPr="00F72B98">
        <w:rPr>
          <w:rFonts w:ascii="Times New Roman" w:hAnsi="Times New Roman" w:cs="Times New Roman"/>
          <w:b/>
        </w:rPr>
        <w:t>2</w:t>
      </w:r>
      <w:r w:rsidRPr="00F72B98">
        <w:rPr>
          <w:rFonts w:ascii="Times New Roman" w:hAnsi="Times New Roman" w:cs="Times New Roman"/>
          <w:b/>
        </w:rPr>
        <w:t>.1</w:t>
      </w:r>
      <w:r w:rsidR="00F72B98" w:rsidRPr="00F72B98">
        <w:rPr>
          <w:rFonts w:ascii="Times New Roman" w:hAnsi="Times New Roman" w:cs="Times New Roman"/>
          <w:b/>
        </w:rPr>
        <w:t xml:space="preserve">. </w:t>
      </w:r>
      <w:r w:rsidR="00366B1A" w:rsidRPr="00F72B98">
        <w:rPr>
          <w:rFonts w:ascii="Times New Roman" w:hAnsi="Times New Roman" w:cs="Times New Roman"/>
          <w:b/>
        </w:rPr>
        <w:t>Descriptive statistics for climate-related outcomes after reading a high or low climate consensus message or no message.</w:t>
      </w:r>
    </w:p>
    <w:tbl>
      <w:tblPr>
        <w:tblStyle w:val="TableGrid"/>
        <w:tblW w:w="5000" w:type="pct"/>
        <w:tblLook w:val="04A0" w:firstRow="1" w:lastRow="0" w:firstColumn="1" w:lastColumn="0" w:noHBand="0" w:noVBand="1"/>
      </w:tblPr>
      <w:tblGrid>
        <w:gridCol w:w="2120"/>
        <w:gridCol w:w="863"/>
        <w:gridCol w:w="863"/>
        <w:gridCol w:w="863"/>
        <w:gridCol w:w="863"/>
        <w:gridCol w:w="863"/>
        <w:gridCol w:w="863"/>
        <w:gridCol w:w="863"/>
        <w:gridCol w:w="865"/>
      </w:tblGrid>
      <w:tr w:rsidR="00366B1A" w:rsidRPr="00537842" w:rsidTr="00D31AC3">
        <w:tc>
          <w:tcPr>
            <w:tcW w:w="1174" w:type="pct"/>
            <w:tcBorders>
              <w:top w:val="single" w:sz="4" w:space="0" w:color="auto"/>
              <w:left w:val="nil"/>
              <w:bottom w:val="nil"/>
              <w:right w:val="nil"/>
            </w:tcBorders>
          </w:tcPr>
          <w:p w:rsidR="00366B1A" w:rsidRPr="00537842" w:rsidRDefault="00366B1A" w:rsidP="00D31AC3">
            <w:pPr>
              <w:rPr>
                <w:rFonts w:ascii="Times New Roman" w:hAnsi="Times New Roman" w:cs="Times New Roman"/>
              </w:rPr>
            </w:pPr>
          </w:p>
        </w:tc>
        <w:tc>
          <w:tcPr>
            <w:tcW w:w="956" w:type="pct"/>
            <w:gridSpan w:val="2"/>
            <w:tcBorders>
              <w:top w:val="single" w:sz="4" w:space="0" w:color="auto"/>
              <w:left w:val="nil"/>
              <w:bottom w:val="nil"/>
              <w:right w:val="nil"/>
            </w:tcBorders>
          </w:tcPr>
          <w:p w:rsidR="00366B1A" w:rsidRPr="00537842" w:rsidRDefault="00366B1A" w:rsidP="00D31AC3">
            <w:pPr>
              <w:rPr>
                <w:rFonts w:ascii="Times New Roman" w:hAnsi="Times New Roman" w:cs="Times New Roman"/>
              </w:rPr>
            </w:pPr>
            <w:r w:rsidRPr="00537842">
              <w:rPr>
                <w:rFonts w:ascii="Times New Roman" w:hAnsi="Times New Roman" w:cs="Times New Roman"/>
              </w:rPr>
              <w:t>Climate belief</w:t>
            </w:r>
          </w:p>
        </w:tc>
        <w:tc>
          <w:tcPr>
            <w:tcW w:w="956" w:type="pct"/>
            <w:gridSpan w:val="2"/>
            <w:tcBorders>
              <w:top w:val="single" w:sz="4" w:space="0" w:color="auto"/>
              <w:left w:val="nil"/>
              <w:bottom w:val="nil"/>
              <w:right w:val="nil"/>
            </w:tcBorders>
          </w:tcPr>
          <w:p w:rsidR="00366B1A" w:rsidRPr="00537842" w:rsidRDefault="00366B1A" w:rsidP="00D31AC3">
            <w:pPr>
              <w:rPr>
                <w:rFonts w:ascii="Times New Roman" w:hAnsi="Times New Roman" w:cs="Times New Roman"/>
              </w:rPr>
            </w:pPr>
            <w:r w:rsidRPr="00537842">
              <w:rPr>
                <w:rFonts w:ascii="Times New Roman" w:hAnsi="Times New Roman" w:cs="Times New Roman"/>
              </w:rPr>
              <w:t>Concern</w:t>
            </w:r>
          </w:p>
        </w:tc>
        <w:tc>
          <w:tcPr>
            <w:tcW w:w="956" w:type="pct"/>
            <w:gridSpan w:val="2"/>
            <w:tcBorders>
              <w:top w:val="single" w:sz="4" w:space="0" w:color="auto"/>
              <w:left w:val="nil"/>
              <w:bottom w:val="nil"/>
              <w:right w:val="nil"/>
            </w:tcBorders>
          </w:tcPr>
          <w:p w:rsidR="00366B1A" w:rsidRPr="00537842" w:rsidRDefault="00366B1A" w:rsidP="00D31AC3">
            <w:pPr>
              <w:rPr>
                <w:rFonts w:ascii="Times New Roman" w:hAnsi="Times New Roman" w:cs="Times New Roman"/>
              </w:rPr>
            </w:pPr>
            <w:r w:rsidRPr="00537842">
              <w:rPr>
                <w:rFonts w:ascii="Times New Roman" w:hAnsi="Times New Roman" w:cs="Times New Roman"/>
              </w:rPr>
              <w:t>Policy support</w:t>
            </w:r>
          </w:p>
        </w:tc>
        <w:tc>
          <w:tcPr>
            <w:tcW w:w="957" w:type="pct"/>
            <w:gridSpan w:val="2"/>
            <w:tcBorders>
              <w:top w:val="single" w:sz="4" w:space="0" w:color="auto"/>
              <w:left w:val="nil"/>
              <w:bottom w:val="nil"/>
              <w:right w:val="nil"/>
            </w:tcBorders>
          </w:tcPr>
          <w:p w:rsidR="00366B1A" w:rsidRPr="00537842" w:rsidRDefault="00366B1A" w:rsidP="00D31AC3">
            <w:pPr>
              <w:rPr>
                <w:rFonts w:ascii="Times New Roman" w:hAnsi="Times New Roman" w:cs="Times New Roman"/>
              </w:rPr>
            </w:pPr>
            <w:r w:rsidRPr="00537842">
              <w:rPr>
                <w:rFonts w:ascii="Times New Roman" w:hAnsi="Times New Roman" w:cs="Times New Roman"/>
              </w:rPr>
              <w:t>Intentions</w:t>
            </w:r>
          </w:p>
        </w:tc>
      </w:tr>
      <w:tr w:rsidR="00366B1A" w:rsidRPr="00537842" w:rsidTr="00D31AC3">
        <w:tc>
          <w:tcPr>
            <w:tcW w:w="1174" w:type="pct"/>
            <w:tcBorders>
              <w:top w:val="nil"/>
              <w:left w:val="nil"/>
              <w:bottom w:val="single" w:sz="4" w:space="0" w:color="auto"/>
              <w:right w:val="nil"/>
            </w:tcBorders>
          </w:tcPr>
          <w:p w:rsidR="00366B1A" w:rsidRPr="00537842" w:rsidRDefault="00366B1A" w:rsidP="00D31AC3">
            <w:pPr>
              <w:rPr>
                <w:rFonts w:ascii="Times New Roman" w:hAnsi="Times New Roman" w:cs="Times New Roman"/>
              </w:rPr>
            </w:pPr>
          </w:p>
        </w:tc>
        <w:tc>
          <w:tcPr>
            <w:tcW w:w="478" w:type="pct"/>
            <w:tcBorders>
              <w:top w:val="nil"/>
              <w:left w:val="nil"/>
              <w:bottom w:val="single" w:sz="4" w:space="0" w:color="auto"/>
              <w:right w:val="nil"/>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M</w:t>
            </w:r>
          </w:p>
        </w:tc>
        <w:tc>
          <w:tcPr>
            <w:tcW w:w="478" w:type="pct"/>
            <w:tcBorders>
              <w:top w:val="nil"/>
              <w:left w:val="nil"/>
              <w:bottom w:val="single" w:sz="4" w:space="0" w:color="auto"/>
              <w:right w:val="nil"/>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SD</w:t>
            </w:r>
          </w:p>
        </w:tc>
        <w:tc>
          <w:tcPr>
            <w:tcW w:w="478" w:type="pct"/>
            <w:tcBorders>
              <w:top w:val="nil"/>
              <w:left w:val="nil"/>
              <w:bottom w:val="single" w:sz="4" w:space="0" w:color="auto"/>
              <w:right w:val="nil"/>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M</w:t>
            </w:r>
          </w:p>
        </w:tc>
        <w:tc>
          <w:tcPr>
            <w:tcW w:w="478" w:type="pct"/>
            <w:tcBorders>
              <w:top w:val="nil"/>
              <w:left w:val="nil"/>
              <w:bottom w:val="single" w:sz="4" w:space="0" w:color="auto"/>
              <w:right w:val="nil"/>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SD</w:t>
            </w:r>
          </w:p>
        </w:tc>
        <w:tc>
          <w:tcPr>
            <w:tcW w:w="478" w:type="pct"/>
            <w:tcBorders>
              <w:top w:val="nil"/>
              <w:left w:val="nil"/>
              <w:bottom w:val="single" w:sz="4" w:space="0" w:color="auto"/>
              <w:right w:val="nil"/>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M</w:t>
            </w:r>
          </w:p>
        </w:tc>
        <w:tc>
          <w:tcPr>
            <w:tcW w:w="478" w:type="pct"/>
            <w:tcBorders>
              <w:top w:val="nil"/>
              <w:left w:val="nil"/>
              <w:bottom w:val="single" w:sz="4" w:space="0" w:color="auto"/>
              <w:right w:val="nil"/>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SD</w:t>
            </w:r>
          </w:p>
        </w:tc>
        <w:tc>
          <w:tcPr>
            <w:tcW w:w="478" w:type="pct"/>
            <w:tcBorders>
              <w:top w:val="nil"/>
              <w:left w:val="nil"/>
              <w:bottom w:val="single" w:sz="4" w:space="0" w:color="auto"/>
              <w:right w:val="nil"/>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M</w:t>
            </w:r>
          </w:p>
        </w:tc>
        <w:tc>
          <w:tcPr>
            <w:tcW w:w="479" w:type="pct"/>
            <w:tcBorders>
              <w:top w:val="nil"/>
              <w:left w:val="nil"/>
              <w:bottom w:val="single" w:sz="4" w:space="0" w:color="auto"/>
              <w:right w:val="nil"/>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SD</w:t>
            </w:r>
          </w:p>
        </w:tc>
      </w:tr>
      <w:tr w:rsidR="00366B1A" w:rsidRPr="00537842" w:rsidTr="00D31AC3">
        <w:tc>
          <w:tcPr>
            <w:tcW w:w="1174" w:type="pct"/>
            <w:tcBorders>
              <w:top w:val="single" w:sz="4" w:space="0" w:color="auto"/>
              <w:left w:val="nil"/>
              <w:bottom w:val="nil"/>
              <w:right w:val="nil"/>
            </w:tcBorders>
          </w:tcPr>
          <w:p w:rsidR="00366B1A" w:rsidRPr="00537842" w:rsidRDefault="00366B1A" w:rsidP="00D31AC3">
            <w:pPr>
              <w:rPr>
                <w:rFonts w:ascii="Times New Roman" w:hAnsi="Times New Roman" w:cs="Times New Roman"/>
              </w:rPr>
            </w:pPr>
            <w:r w:rsidRPr="00537842">
              <w:rPr>
                <w:rFonts w:ascii="Times New Roman" w:hAnsi="Times New Roman" w:cs="Times New Roman"/>
              </w:rPr>
              <w:t>High (97%)</w:t>
            </w:r>
            <w:r w:rsidRPr="00537842">
              <w:rPr>
                <w:rFonts w:ascii="Times New Roman" w:hAnsi="Times New Roman" w:cs="Times New Roman"/>
                <w:color w:val="000000"/>
                <w:vertAlign w:val="superscript"/>
              </w:rPr>
              <w:t xml:space="preserve"> </w:t>
            </w:r>
            <w:r w:rsidRPr="00537842">
              <w:rPr>
                <w:rFonts w:ascii="Times New Roman" w:hAnsi="Times New Roman" w:cs="Times New Roman"/>
              </w:rPr>
              <w:t>climate message</w:t>
            </w:r>
            <w:r w:rsidRPr="00537842">
              <w:rPr>
                <w:rFonts w:ascii="Times New Roman" w:hAnsi="Times New Roman" w:cs="Times New Roman"/>
                <w:color w:val="000000"/>
                <w:vertAlign w:val="superscript"/>
              </w:rPr>
              <w:t xml:space="preserve"> </w:t>
            </w:r>
          </w:p>
        </w:tc>
        <w:tc>
          <w:tcPr>
            <w:tcW w:w="478" w:type="pct"/>
            <w:tcBorders>
              <w:top w:val="single" w:sz="4" w:space="0" w:color="auto"/>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5.47</w:t>
            </w:r>
          </w:p>
        </w:tc>
        <w:tc>
          <w:tcPr>
            <w:tcW w:w="478" w:type="pct"/>
            <w:tcBorders>
              <w:top w:val="single" w:sz="4" w:space="0" w:color="auto"/>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(0.88)</w:t>
            </w:r>
          </w:p>
        </w:tc>
        <w:tc>
          <w:tcPr>
            <w:tcW w:w="478" w:type="pct"/>
            <w:tcBorders>
              <w:top w:val="single" w:sz="4" w:space="0" w:color="auto"/>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5.78</w:t>
            </w:r>
          </w:p>
        </w:tc>
        <w:tc>
          <w:tcPr>
            <w:tcW w:w="478" w:type="pct"/>
            <w:tcBorders>
              <w:top w:val="single" w:sz="4" w:space="0" w:color="auto"/>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(1.18)</w:t>
            </w:r>
          </w:p>
        </w:tc>
        <w:tc>
          <w:tcPr>
            <w:tcW w:w="478" w:type="pct"/>
            <w:tcBorders>
              <w:top w:val="single" w:sz="4" w:space="0" w:color="auto"/>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3.64</w:t>
            </w:r>
          </w:p>
        </w:tc>
        <w:tc>
          <w:tcPr>
            <w:tcW w:w="478" w:type="pct"/>
            <w:tcBorders>
              <w:top w:val="single" w:sz="4" w:space="0" w:color="auto"/>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(0.62)</w:t>
            </w:r>
          </w:p>
        </w:tc>
        <w:tc>
          <w:tcPr>
            <w:tcW w:w="478" w:type="pct"/>
            <w:tcBorders>
              <w:top w:val="single" w:sz="4" w:space="0" w:color="auto"/>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5.09</w:t>
            </w:r>
          </w:p>
        </w:tc>
        <w:tc>
          <w:tcPr>
            <w:tcW w:w="479" w:type="pct"/>
            <w:tcBorders>
              <w:top w:val="single" w:sz="4" w:space="0" w:color="auto"/>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(1.05)</w:t>
            </w:r>
          </w:p>
        </w:tc>
      </w:tr>
      <w:tr w:rsidR="00366B1A" w:rsidRPr="00537842" w:rsidTr="00D31AC3">
        <w:tc>
          <w:tcPr>
            <w:tcW w:w="1174" w:type="pct"/>
            <w:tcBorders>
              <w:top w:val="nil"/>
              <w:left w:val="nil"/>
              <w:bottom w:val="nil"/>
              <w:right w:val="nil"/>
            </w:tcBorders>
          </w:tcPr>
          <w:p w:rsidR="00366B1A" w:rsidRPr="00537842" w:rsidRDefault="00366B1A" w:rsidP="00D31AC3">
            <w:pPr>
              <w:rPr>
                <w:rFonts w:ascii="Times New Roman" w:hAnsi="Times New Roman" w:cs="Times New Roman"/>
              </w:rPr>
            </w:pPr>
            <w:r w:rsidRPr="00537842">
              <w:rPr>
                <w:rFonts w:ascii="Times New Roman" w:hAnsi="Times New Roman" w:cs="Times New Roman"/>
              </w:rPr>
              <w:t>Low (63%) climate message</w:t>
            </w:r>
            <w:r w:rsidRPr="00537842">
              <w:rPr>
                <w:rFonts w:ascii="Times New Roman" w:hAnsi="Times New Roman" w:cs="Times New Roman"/>
                <w:color w:val="000000"/>
                <w:vertAlign w:val="superscript"/>
              </w:rPr>
              <w:t xml:space="preserve"> </w:t>
            </w:r>
          </w:p>
        </w:tc>
        <w:tc>
          <w:tcPr>
            <w:tcW w:w="478" w:type="pct"/>
            <w:tcBorders>
              <w:top w:val="nil"/>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5.44</w:t>
            </w:r>
          </w:p>
        </w:tc>
        <w:tc>
          <w:tcPr>
            <w:tcW w:w="478" w:type="pct"/>
            <w:tcBorders>
              <w:top w:val="nil"/>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(0.80)</w:t>
            </w:r>
          </w:p>
        </w:tc>
        <w:tc>
          <w:tcPr>
            <w:tcW w:w="478" w:type="pct"/>
            <w:tcBorders>
              <w:top w:val="nil"/>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5.65</w:t>
            </w:r>
          </w:p>
        </w:tc>
        <w:tc>
          <w:tcPr>
            <w:tcW w:w="478" w:type="pct"/>
            <w:tcBorders>
              <w:top w:val="nil"/>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(1.06)</w:t>
            </w:r>
          </w:p>
        </w:tc>
        <w:tc>
          <w:tcPr>
            <w:tcW w:w="478" w:type="pct"/>
            <w:tcBorders>
              <w:top w:val="nil"/>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3.54</w:t>
            </w:r>
          </w:p>
        </w:tc>
        <w:tc>
          <w:tcPr>
            <w:tcW w:w="478" w:type="pct"/>
            <w:tcBorders>
              <w:top w:val="nil"/>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(0.58)</w:t>
            </w:r>
          </w:p>
        </w:tc>
        <w:tc>
          <w:tcPr>
            <w:tcW w:w="478" w:type="pct"/>
            <w:tcBorders>
              <w:top w:val="nil"/>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4.97</w:t>
            </w:r>
          </w:p>
        </w:tc>
        <w:tc>
          <w:tcPr>
            <w:tcW w:w="479" w:type="pct"/>
            <w:tcBorders>
              <w:top w:val="nil"/>
              <w:left w:val="nil"/>
              <w:bottom w:val="nil"/>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(1.05)</w:t>
            </w:r>
          </w:p>
        </w:tc>
      </w:tr>
      <w:tr w:rsidR="00366B1A" w:rsidRPr="00537842" w:rsidTr="00D31AC3">
        <w:tc>
          <w:tcPr>
            <w:tcW w:w="1174" w:type="pct"/>
            <w:tcBorders>
              <w:top w:val="nil"/>
              <w:left w:val="nil"/>
              <w:bottom w:val="single" w:sz="4" w:space="0" w:color="auto"/>
              <w:right w:val="nil"/>
            </w:tcBorders>
          </w:tcPr>
          <w:p w:rsidR="00366B1A" w:rsidRPr="00537842" w:rsidRDefault="00366B1A" w:rsidP="00D31AC3">
            <w:pPr>
              <w:rPr>
                <w:rFonts w:ascii="Times New Roman" w:hAnsi="Times New Roman" w:cs="Times New Roman"/>
              </w:rPr>
            </w:pPr>
            <w:r w:rsidRPr="00537842">
              <w:rPr>
                <w:rFonts w:ascii="Times New Roman" w:hAnsi="Times New Roman" w:cs="Times New Roman"/>
              </w:rPr>
              <w:t>Control</w:t>
            </w:r>
          </w:p>
        </w:tc>
        <w:tc>
          <w:tcPr>
            <w:tcW w:w="478" w:type="pct"/>
            <w:tcBorders>
              <w:top w:val="nil"/>
              <w:left w:val="nil"/>
              <w:bottom w:val="single" w:sz="4" w:space="0" w:color="auto"/>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5.40</w:t>
            </w:r>
          </w:p>
        </w:tc>
        <w:tc>
          <w:tcPr>
            <w:tcW w:w="478" w:type="pct"/>
            <w:tcBorders>
              <w:top w:val="nil"/>
              <w:left w:val="nil"/>
              <w:bottom w:val="single" w:sz="4" w:space="0" w:color="auto"/>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(0.87)</w:t>
            </w:r>
          </w:p>
        </w:tc>
        <w:tc>
          <w:tcPr>
            <w:tcW w:w="478" w:type="pct"/>
            <w:tcBorders>
              <w:top w:val="nil"/>
              <w:left w:val="nil"/>
              <w:bottom w:val="single" w:sz="4" w:space="0" w:color="auto"/>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5.58</w:t>
            </w:r>
          </w:p>
        </w:tc>
        <w:tc>
          <w:tcPr>
            <w:tcW w:w="478" w:type="pct"/>
            <w:tcBorders>
              <w:top w:val="nil"/>
              <w:left w:val="nil"/>
              <w:bottom w:val="single" w:sz="4" w:space="0" w:color="auto"/>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(1.10)</w:t>
            </w:r>
          </w:p>
        </w:tc>
        <w:tc>
          <w:tcPr>
            <w:tcW w:w="478" w:type="pct"/>
            <w:tcBorders>
              <w:top w:val="nil"/>
              <w:left w:val="nil"/>
              <w:bottom w:val="single" w:sz="4" w:space="0" w:color="auto"/>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3.49</w:t>
            </w:r>
          </w:p>
        </w:tc>
        <w:tc>
          <w:tcPr>
            <w:tcW w:w="478" w:type="pct"/>
            <w:tcBorders>
              <w:top w:val="nil"/>
              <w:left w:val="nil"/>
              <w:bottom w:val="single" w:sz="4" w:space="0" w:color="auto"/>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(0.57)</w:t>
            </w:r>
          </w:p>
        </w:tc>
        <w:tc>
          <w:tcPr>
            <w:tcW w:w="478" w:type="pct"/>
            <w:tcBorders>
              <w:top w:val="nil"/>
              <w:left w:val="nil"/>
              <w:bottom w:val="single" w:sz="4" w:space="0" w:color="auto"/>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4.84</w:t>
            </w:r>
          </w:p>
        </w:tc>
        <w:tc>
          <w:tcPr>
            <w:tcW w:w="479" w:type="pct"/>
            <w:tcBorders>
              <w:top w:val="nil"/>
              <w:left w:val="nil"/>
              <w:bottom w:val="single" w:sz="4" w:space="0" w:color="auto"/>
              <w:right w:val="nil"/>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(1.20)</w:t>
            </w:r>
          </w:p>
        </w:tc>
      </w:tr>
    </w:tbl>
    <w:p w:rsidR="00366B1A" w:rsidRPr="00537842" w:rsidRDefault="00366B1A" w:rsidP="00366B1A">
      <w:pPr>
        <w:spacing w:line="240" w:lineRule="auto"/>
        <w:rPr>
          <w:rFonts w:ascii="Times New Roman" w:hAnsi="Times New Roman" w:cs="Times New Roman"/>
        </w:rPr>
      </w:pPr>
    </w:p>
    <w:p w:rsidR="00366B1A" w:rsidRPr="00537842" w:rsidRDefault="00366B1A" w:rsidP="00366B1A">
      <w:pPr>
        <w:spacing w:line="480" w:lineRule="auto"/>
        <w:ind w:firstLine="720"/>
        <w:rPr>
          <w:rFonts w:ascii="Times New Roman" w:hAnsi="Times New Roman" w:cs="Times New Roman"/>
        </w:rPr>
      </w:pPr>
      <w:r w:rsidRPr="00537842">
        <w:rPr>
          <w:rFonts w:ascii="Times New Roman" w:hAnsi="Times New Roman" w:cs="Times New Roman"/>
        </w:rPr>
        <w:t xml:space="preserve">A MANOVA examining GM food safety beliefs, intentions and policy preferences  indicated a significant difference between the high GM consensus message and control conditions, </w:t>
      </w:r>
      <w:r w:rsidRPr="00537842">
        <w:rPr>
          <w:rFonts w:ascii="Times New Roman" w:hAnsi="Times New Roman" w:cs="Times New Roman"/>
          <w:i/>
        </w:rPr>
        <w:t>F</w:t>
      </w:r>
      <w:r w:rsidRPr="00537842">
        <w:rPr>
          <w:rFonts w:ascii="Times New Roman" w:hAnsi="Times New Roman" w:cs="Times New Roman"/>
        </w:rPr>
        <w:t xml:space="preserve"> (3, 249) = 3.12, </w:t>
      </w:r>
      <w:r w:rsidRPr="00537842">
        <w:rPr>
          <w:rFonts w:ascii="Times New Roman" w:hAnsi="Times New Roman" w:cs="Times New Roman"/>
          <w:i/>
        </w:rPr>
        <w:t>p</w:t>
      </w:r>
      <w:r w:rsidRPr="00537842">
        <w:rPr>
          <w:rFonts w:ascii="Times New Roman" w:hAnsi="Times New Roman" w:cs="Times New Roman"/>
        </w:rPr>
        <w:t xml:space="preserve"> = .03; </w:t>
      </w:r>
      <w:proofErr w:type="spellStart"/>
      <w:r w:rsidRPr="00537842">
        <w:rPr>
          <w:rFonts w:ascii="Times New Roman" w:hAnsi="Times New Roman" w:cs="Times New Roman"/>
        </w:rPr>
        <w:t>Hotelling’s</w:t>
      </w:r>
      <w:proofErr w:type="spellEnd"/>
      <w:r w:rsidRPr="00537842">
        <w:rPr>
          <w:rFonts w:ascii="Times New Roman" w:hAnsi="Times New Roman" w:cs="Times New Roman"/>
        </w:rPr>
        <w:t xml:space="preserve"> </w:t>
      </w:r>
      <w:r w:rsidRPr="00537842">
        <w:rPr>
          <w:rFonts w:ascii="Times New Roman" w:hAnsi="Times New Roman" w:cs="Times New Roman"/>
          <w:i/>
        </w:rPr>
        <w:t>T</w:t>
      </w:r>
      <w:r w:rsidRPr="00537842">
        <w:rPr>
          <w:rFonts w:ascii="Times New Roman" w:hAnsi="Times New Roman" w:cs="Times New Roman"/>
          <w:i/>
          <w:vertAlign w:val="superscript"/>
        </w:rPr>
        <w:t>2</w:t>
      </w:r>
      <w:r w:rsidRPr="00537842">
        <w:rPr>
          <w:rFonts w:ascii="Times New Roman" w:hAnsi="Times New Roman" w:cs="Times New Roman"/>
        </w:rPr>
        <w:t xml:space="preserve"> = 5.73, η</w:t>
      </w:r>
      <w:r w:rsidRPr="00537842">
        <w:rPr>
          <w:rFonts w:ascii="Times New Roman" w:hAnsi="Times New Roman" w:cs="Times New Roman"/>
          <w:vertAlign w:val="subscript"/>
        </w:rPr>
        <w:t>p</w:t>
      </w:r>
      <w:r w:rsidRPr="00537842">
        <w:rPr>
          <w:rFonts w:ascii="Times New Roman" w:hAnsi="Times New Roman" w:cs="Times New Roman"/>
          <w:vertAlign w:val="superscript"/>
        </w:rPr>
        <w:t>2</w:t>
      </w:r>
      <w:r w:rsidR="00537842" w:rsidRPr="00537842">
        <w:rPr>
          <w:rFonts w:ascii="Times New Roman" w:hAnsi="Times New Roman" w:cs="Times New Roman"/>
        </w:rPr>
        <w:t xml:space="preserve"> = .04 (table S2</w:t>
      </w:r>
      <w:r w:rsidR="00B43D0C" w:rsidRPr="00537842">
        <w:rPr>
          <w:rFonts w:ascii="Times New Roman" w:hAnsi="Times New Roman" w:cs="Times New Roman"/>
        </w:rPr>
        <w:t>.2</w:t>
      </w:r>
      <w:r w:rsidRPr="00537842">
        <w:rPr>
          <w:rFonts w:ascii="Times New Roman" w:hAnsi="Times New Roman" w:cs="Times New Roman"/>
        </w:rPr>
        <w:t xml:space="preserve">). Independent samples t-tests revealed significant differences between the message and control conditions for GM food safety beliefs, </w:t>
      </w:r>
      <w:proofErr w:type="gramStart"/>
      <w:r w:rsidRPr="00537842">
        <w:rPr>
          <w:rFonts w:ascii="Times New Roman" w:hAnsi="Times New Roman" w:cs="Times New Roman"/>
          <w:i/>
        </w:rPr>
        <w:t>t</w:t>
      </w:r>
      <w:r w:rsidRPr="00537842">
        <w:rPr>
          <w:rFonts w:ascii="Times New Roman" w:hAnsi="Times New Roman" w:cs="Times New Roman"/>
        </w:rPr>
        <w:t>(</w:t>
      </w:r>
      <w:proofErr w:type="gramEnd"/>
      <w:r w:rsidRPr="00537842">
        <w:rPr>
          <w:rFonts w:ascii="Times New Roman" w:hAnsi="Times New Roman" w:cs="Times New Roman"/>
        </w:rPr>
        <w:t xml:space="preserve">251)=-2.31, </w:t>
      </w:r>
      <w:r w:rsidRPr="00537842">
        <w:rPr>
          <w:rFonts w:ascii="Times New Roman" w:hAnsi="Times New Roman" w:cs="Times New Roman"/>
          <w:i/>
        </w:rPr>
        <w:t>p</w:t>
      </w:r>
      <w:r w:rsidRPr="00537842">
        <w:rPr>
          <w:rFonts w:ascii="Times New Roman" w:hAnsi="Times New Roman" w:cs="Times New Roman"/>
        </w:rPr>
        <w:t xml:space="preserve"> = .02, </w:t>
      </w:r>
      <w:r w:rsidRPr="00537842">
        <w:rPr>
          <w:rFonts w:ascii="Times New Roman" w:hAnsi="Times New Roman" w:cs="Times New Roman"/>
          <w:i/>
        </w:rPr>
        <w:t>d</w:t>
      </w:r>
      <w:r w:rsidRPr="00537842">
        <w:rPr>
          <w:rFonts w:ascii="Times New Roman" w:hAnsi="Times New Roman" w:cs="Times New Roman"/>
        </w:rPr>
        <w:t xml:space="preserve"> = 0.29, and anti-GM policy support </w:t>
      </w:r>
      <w:r w:rsidRPr="00537842">
        <w:rPr>
          <w:rFonts w:ascii="Times New Roman" w:hAnsi="Times New Roman" w:cs="Times New Roman"/>
          <w:i/>
        </w:rPr>
        <w:t>t</w:t>
      </w:r>
      <w:r w:rsidRPr="00537842">
        <w:rPr>
          <w:rFonts w:ascii="Times New Roman" w:hAnsi="Times New Roman" w:cs="Times New Roman"/>
        </w:rPr>
        <w:t xml:space="preserve">(251)= 0.54, </w:t>
      </w:r>
      <w:r w:rsidRPr="00537842">
        <w:rPr>
          <w:rFonts w:ascii="Times New Roman" w:hAnsi="Times New Roman" w:cs="Times New Roman"/>
          <w:i/>
        </w:rPr>
        <w:t xml:space="preserve">p </w:t>
      </w:r>
      <w:r w:rsidRPr="00537842">
        <w:rPr>
          <w:rFonts w:ascii="Times New Roman" w:hAnsi="Times New Roman" w:cs="Times New Roman"/>
        </w:rPr>
        <w:t xml:space="preserve">= .008, </w:t>
      </w:r>
      <w:r w:rsidRPr="00537842">
        <w:rPr>
          <w:rFonts w:ascii="Times New Roman" w:hAnsi="Times New Roman" w:cs="Times New Roman"/>
          <w:i/>
        </w:rPr>
        <w:t>d</w:t>
      </w:r>
      <w:r w:rsidRPr="00537842">
        <w:rPr>
          <w:rFonts w:ascii="Times New Roman" w:hAnsi="Times New Roman" w:cs="Times New Roman"/>
        </w:rPr>
        <w:t xml:space="preserve"> = 0.34. These results indicate that exposure to a message about a high level of scientific agreement regarding the safety of GM food increases individuals’ reported belief that GM food is safe and lowers their support for policies regulating GM food products. These findings offer support for the Gateway Belief Model which predicts that changes in perceptions of scientific consensus are causally related to changes in personal beliefs. </w:t>
      </w:r>
    </w:p>
    <w:p w:rsidR="00366B1A" w:rsidRPr="00F72B98" w:rsidRDefault="00B43D0C" w:rsidP="00366B1A">
      <w:pPr>
        <w:spacing w:line="240" w:lineRule="auto"/>
        <w:rPr>
          <w:rFonts w:ascii="Times New Roman" w:hAnsi="Times New Roman" w:cs="Times New Roman"/>
          <w:b/>
        </w:rPr>
      </w:pPr>
      <w:r w:rsidRPr="00F72B98">
        <w:rPr>
          <w:rFonts w:ascii="Times New Roman" w:hAnsi="Times New Roman" w:cs="Times New Roman"/>
          <w:b/>
        </w:rPr>
        <w:t>Table S</w:t>
      </w:r>
      <w:r w:rsidR="00537842" w:rsidRPr="00F72B98">
        <w:rPr>
          <w:rFonts w:ascii="Times New Roman" w:hAnsi="Times New Roman" w:cs="Times New Roman"/>
          <w:b/>
        </w:rPr>
        <w:t>2</w:t>
      </w:r>
      <w:r w:rsidRPr="00F72B98">
        <w:rPr>
          <w:rFonts w:ascii="Times New Roman" w:hAnsi="Times New Roman" w:cs="Times New Roman"/>
          <w:b/>
        </w:rPr>
        <w:t>.2</w:t>
      </w:r>
      <w:r w:rsidR="00F72B98" w:rsidRPr="00F72B98">
        <w:rPr>
          <w:rFonts w:ascii="Times New Roman" w:hAnsi="Times New Roman" w:cs="Times New Roman"/>
          <w:b/>
        </w:rPr>
        <w:t xml:space="preserve">. </w:t>
      </w:r>
      <w:r w:rsidR="00366B1A" w:rsidRPr="00F72B98">
        <w:rPr>
          <w:rFonts w:ascii="Times New Roman" w:hAnsi="Times New Roman" w:cs="Times New Roman"/>
          <w:b/>
        </w:rPr>
        <w:t xml:space="preserve">Descriptive statistics for GM-related outcomes after reading a high GM consensus message or no message.  </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1067"/>
        <w:gridCol w:w="1069"/>
        <w:gridCol w:w="1067"/>
        <w:gridCol w:w="1069"/>
        <w:gridCol w:w="1069"/>
        <w:gridCol w:w="1065"/>
      </w:tblGrid>
      <w:tr w:rsidR="00366B1A" w:rsidRPr="00537842" w:rsidTr="00D31AC3">
        <w:tc>
          <w:tcPr>
            <w:tcW w:w="1451" w:type="pct"/>
            <w:tcBorders>
              <w:top w:val="single" w:sz="4" w:space="0" w:color="auto"/>
              <w:bottom w:val="nil"/>
            </w:tcBorders>
          </w:tcPr>
          <w:p w:rsidR="00366B1A" w:rsidRPr="00537842" w:rsidRDefault="00366B1A" w:rsidP="00D31AC3">
            <w:pPr>
              <w:rPr>
                <w:rFonts w:ascii="Times New Roman" w:hAnsi="Times New Roman" w:cs="Times New Roman"/>
              </w:rPr>
            </w:pPr>
          </w:p>
        </w:tc>
        <w:tc>
          <w:tcPr>
            <w:tcW w:w="1183" w:type="pct"/>
            <w:gridSpan w:val="2"/>
            <w:tcBorders>
              <w:top w:val="single" w:sz="4" w:space="0" w:color="auto"/>
              <w:bottom w:val="nil"/>
            </w:tcBorders>
          </w:tcPr>
          <w:p w:rsidR="00366B1A" w:rsidRPr="00537842" w:rsidRDefault="00366B1A" w:rsidP="00D31AC3">
            <w:pPr>
              <w:rPr>
                <w:rFonts w:ascii="Times New Roman" w:hAnsi="Times New Roman" w:cs="Times New Roman"/>
              </w:rPr>
            </w:pPr>
            <w:r w:rsidRPr="00537842">
              <w:rPr>
                <w:rFonts w:ascii="Times New Roman" w:hAnsi="Times New Roman" w:cs="Times New Roman"/>
              </w:rPr>
              <w:t>GM food safety</w:t>
            </w:r>
          </w:p>
        </w:tc>
        <w:tc>
          <w:tcPr>
            <w:tcW w:w="1183" w:type="pct"/>
            <w:gridSpan w:val="2"/>
            <w:tcBorders>
              <w:top w:val="single" w:sz="4" w:space="0" w:color="auto"/>
              <w:bottom w:val="nil"/>
            </w:tcBorders>
          </w:tcPr>
          <w:p w:rsidR="00366B1A" w:rsidRPr="00537842" w:rsidRDefault="00366B1A" w:rsidP="00D31AC3">
            <w:pPr>
              <w:rPr>
                <w:rFonts w:ascii="Times New Roman" w:hAnsi="Times New Roman" w:cs="Times New Roman"/>
              </w:rPr>
            </w:pPr>
            <w:r w:rsidRPr="00537842">
              <w:rPr>
                <w:rFonts w:ascii="Times New Roman" w:hAnsi="Times New Roman" w:cs="Times New Roman"/>
              </w:rPr>
              <w:t>GM intentions</w:t>
            </w:r>
          </w:p>
        </w:tc>
        <w:tc>
          <w:tcPr>
            <w:tcW w:w="1182" w:type="pct"/>
            <w:gridSpan w:val="2"/>
            <w:tcBorders>
              <w:top w:val="single" w:sz="4" w:space="0" w:color="auto"/>
              <w:bottom w:val="nil"/>
            </w:tcBorders>
          </w:tcPr>
          <w:p w:rsidR="00366B1A" w:rsidRPr="00537842" w:rsidRDefault="00366B1A" w:rsidP="00D31AC3">
            <w:pPr>
              <w:rPr>
                <w:rFonts w:ascii="Times New Roman" w:hAnsi="Times New Roman" w:cs="Times New Roman"/>
              </w:rPr>
            </w:pPr>
            <w:r w:rsidRPr="00537842">
              <w:rPr>
                <w:rFonts w:ascii="Times New Roman" w:hAnsi="Times New Roman" w:cs="Times New Roman"/>
              </w:rPr>
              <w:t>Anti GM-policy</w:t>
            </w:r>
          </w:p>
        </w:tc>
      </w:tr>
      <w:tr w:rsidR="00366B1A" w:rsidRPr="00537842" w:rsidTr="00D31AC3">
        <w:tc>
          <w:tcPr>
            <w:tcW w:w="1451" w:type="pct"/>
            <w:tcBorders>
              <w:top w:val="nil"/>
              <w:bottom w:val="single" w:sz="4" w:space="0" w:color="auto"/>
            </w:tcBorders>
          </w:tcPr>
          <w:p w:rsidR="00366B1A" w:rsidRPr="00537842" w:rsidRDefault="00366B1A" w:rsidP="00D31AC3">
            <w:pPr>
              <w:rPr>
                <w:rFonts w:ascii="Times New Roman" w:hAnsi="Times New Roman" w:cs="Times New Roman"/>
              </w:rPr>
            </w:pPr>
          </w:p>
        </w:tc>
        <w:tc>
          <w:tcPr>
            <w:tcW w:w="591" w:type="pct"/>
            <w:tcBorders>
              <w:top w:val="nil"/>
              <w:bottom w:val="single" w:sz="4" w:space="0" w:color="auto"/>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M</w:t>
            </w:r>
          </w:p>
        </w:tc>
        <w:tc>
          <w:tcPr>
            <w:tcW w:w="592" w:type="pct"/>
            <w:tcBorders>
              <w:top w:val="nil"/>
              <w:bottom w:val="single" w:sz="4" w:space="0" w:color="auto"/>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SD</w:t>
            </w:r>
          </w:p>
        </w:tc>
        <w:tc>
          <w:tcPr>
            <w:tcW w:w="591" w:type="pct"/>
            <w:tcBorders>
              <w:top w:val="nil"/>
              <w:bottom w:val="single" w:sz="4" w:space="0" w:color="auto"/>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M</w:t>
            </w:r>
          </w:p>
        </w:tc>
        <w:tc>
          <w:tcPr>
            <w:tcW w:w="592" w:type="pct"/>
            <w:tcBorders>
              <w:top w:val="nil"/>
              <w:bottom w:val="single" w:sz="4" w:space="0" w:color="auto"/>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SD</w:t>
            </w:r>
          </w:p>
        </w:tc>
        <w:tc>
          <w:tcPr>
            <w:tcW w:w="592" w:type="pct"/>
            <w:tcBorders>
              <w:top w:val="nil"/>
              <w:bottom w:val="single" w:sz="4" w:space="0" w:color="auto"/>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M</w:t>
            </w:r>
          </w:p>
        </w:tc>
        <w:tc>
          <w:tcPr>
            <w:tcW w:w="590" w:type="pct"/>
            <w:tcBorders>
              <w:top w:val="nil"/>
              <w:bottom w:val="single" w:sz="4" w:space="0" w:color="auto"/>
            </w:tcBorders>
            <w:vAlign w:val="bottom"/>
          </w:tcPr>
          <w:p w:rsidR="00366B1A" w:rsidRPr="00537842" w:rsidRDefault="00366B1A" w:rsidP="00D31AC3">
            <w:pPr>
              <w:jc w:val="center"/>
              <w:rPr>
                <w:rFonts w:ascii="Times New Roman" w:hAnsi="Times New Roman" w:cs="Times New Roman"/>
                <w:i/>
                <w:sz w:val="20"/>
                <w:szCs w:val="20"/>
              </w:rPr>
            </w:pPr>
            <w:r w:rsidRPr="00537842">
              <w:rPr>
                <w:rFonts w:ascii="Times New Roman" w:hAnsi="Times New Roman" w:cs="Times New Roman"/>
                <w:i/>
                <w:sz w:val="20"/>
                <w:szCs w:val="20"/>
              </w:rPr>
              <w:t>SD</w:t>
            </w:r>
          </w:p>
        </w:tc>
      </w:tr>
      <w:tr w:rsidR="00366B1A" w:rsidRPr="00537842" w:rsidTr="00D31AC3">
        <w:tc>
          <w:tcPr>
            <w:tcW w:w="1451" w:type="pct"/>
            <w:tcBorders>
              <w:top w:val="single" w:sz="4" w:space="0" w:color="auto"/>
            </w:tcBorders>
          </w:tcPr>
          <w:p w:rsidR="00366B1A" w:rsidRPr="00537842" w:rsidRDefault="00366B1A" w:rsidP="00D31AC3">
            <w:pPr>
              <w:rPr>
                <w:rFonts w:ascii="Times New Roman" w:hAnsi="Times New Roman" w:cs="Times New Roman"/>
              </w:rPr>
            </w:pPr>
            <w:r w:rsidRPr="00537842">
              <w:rPr>
                <w:rFonts w:ascii="Times New Roman" w:hAnsi="Times New Roman" w:cs="Times New Roman"/>
              </w:rPr>
              <w:t>High (97%)</w:t>
            </w:r>
            <w:r w:rsidRPr="00537842">
              <w:rPr>
                <w:rFonts w:ascii="Times New Roman" w:hAnsi="Times New Roman" w:cs="Times New Roman"/>
                <w:color w:val="000000"/>
                <w:vertAlign w:val="superscript"/>
              </w:rPr>
              <w:t xml:space="preserve"> </w:t>
            </w:r>
            <w:r w:rsidRPr="00537842">
              <w:rPr>
                <w:rFonts w:ascii="Times New Roman" w:hAnsi="Times New Roman" w:cs="Times New Roman"/>
              </w:rPr>
              <w:t>GM message</w:t>
            </w:r>
            <w:r w:rsidRPr="00537842">
              <w:rPr>
                <w:rFonts w:ascii="Times New Roman" w:hAnsi="Times New Roman" w:cs="Times New Roman"/>
                <w:color w:val="000000"/>
                <w:vertAlign w:val="superscript"/>
              </w:rPr>
              <w:t xml:space="preserve"> a</w:t>
            </w:r>
          </w:p>
        </w:tc>
        <w:tc>
          <w:tcPr>
            <w:tcW w:w="591" w:type="pct"/>
            <w:tcBorders>
              <w:top w:val="single" w:sz="4" w:space="0" w:color="auto"/>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4.37</w:t>
            </w:r>
            <w:r w:rsidRPr="00537842">
              <w:rPr>
                <w:rFonts w:ascii="Times New Roman" w:hAnsi="Times New Roman" w:cs="Times New Roman"/>
                <w:color w:val="000000"/>
                <w:vertAlign w:val="superscript"/>
              </w:rPr>
              <w:t xml:space="preserve"> b</w:t>
            </w:r>
          </w:p>
        </w:tc>
        <w:tc>
          <w:tcPr>
            <w:tcW w:w="592" w:type="pct"/>
            <w:tcBorders>
              <w:top w:val="single" w:sz="4" w:space="0" w:color="auto"/>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(1.21)</w:t>
            </w:r>
          </w:p>
        </w:tc>
        <w:tc>
          <w:tcPr>
            <w:tcW w:w="591" w:type="pct"/>
            <w:tcBorders>
              <w:top w:val="single" w:sz="4" w:space="0" w:color="auto"/>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3.02</w:t>
            </w:r>
          </w:p>
        </w:tc>
        <w:tc>
          <w:tcPr>
            <w:tcW w:w="592" w:type="pct"/>
            <w:tcBorders>
              <w:top w:val="single" w:sz="4" w:space="0" w:color="auto"/>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(1.24)</w:t>
            </w:r>
          </w:p>
        </w:tc>
        <w:tc>
          <w:tcPr>
            <w:tcW w:w="592" w:type="pct"/>
            <w:tcBorders>
              <w:top w:val="single" w:sz="4" w:space="0" w:color="auto"/>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3.31</w:t>
            </w:r>
            <w:r w:rsidRPr="00537842">
              <w:rPr>
                <w:rFonts w:ascii="Times New Roman" w:hAnsi="Times New Roman" w:cs="Times New Roman"/>
                <w:color w:val="000000"/>
                <w:vertAlign w:val="superscript"/>
              </w:rPr>
              <w:t>b</w:t>
            </w:r>
          </w:p>
        </w:tc>
        <w:tc>
          <w:tcPr>
            <w:tcW w:w="590" w:type="pct"/>
            <w:tcBorders>
              <w:top w:val="single" w:sz="4" w:space="0" w:color="auto"/>
            </w:tcBorders>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(0.64)</w:t>
            </w:r>
          </w:p>
        </w:tc>
      </w:tr>
      <w:tr w:rsidR="00366B1A" w:rsidRPr="00537842" w:rsidTr="00D31AC3">
        <w:tc>
          <w:tcPr>
            <w:tcW w:w="1451" w:type="pct"/>
          </w:tcPr>
          <w:p w:rsidR="00366B1A" w:rsidRPr="00537842" w:rsidRDefault="00366B1A" w:rsidP="00D31AC3">
            <w:pPr>
              <w:rPr>
                <w:rFonts w:ascii="Times New Roman" w:hAnsi="Times New Roman" w:cs="Times New Roman"/>
              </w:rPr>
            </w:pPr>
            <w:r w:rsidRPr="00537842">
              <w:rPr>
                <w:rFonts w:ascii="Times New Roman" w:hAnsi="Times New Roman" w:cs="Times New Roman"/>
              </w:rPr>
              <w:t>Control</w:t>
            </w:r>
            <w:r w:rsidRPr="00537842">
              <w:rPr>
                <w:rFonts w:ascii="Times New Roman" w:hAnsi="Times New Roman" w:cs="Times New Roman"/>
                <w:color w:val="000000"/>
                <w:vertAlign w:val="superscript"/>
              </w:rPr>
              <w:t xml:space="preserve"> b</w:t>
            </w:r>
          </w:p>
        </w:tc>
        <w:tc>
          <w:tcPr>
            <w:tcW w:w="591" w:type="pct"/>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4.02</w:t>
            </w:r>
            <w:r w:rsidRPr="00537842">
              <w:rPr>
                <w:rFonts w:ascii="Times New Roman" w:hAnsi="Times New Roman" w:cs="Times New Roman"/>
                <w:color w:val="000000"/>
                <w:vertAlign w:val="superscript"/>
              </w:rPr>
              <w:t xml:space="preserve"> a</w:t>
            </w:r>
          </w:p>
        </w:tc>
        <w:tc>
          <w:tcPr>
            <w:tcW w:w="592" w:type="pct"/>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(1.23)</w:t>
            </w:r>
          </w:p>
        </w:tc>
        <w:tc>
          <w:tcPr>
            <w:tcW w:w="591" w:type="pct"/>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3.11</w:t>
            </w:r>
          </w:p>
        </w:tc>
        <w:tc>
          <w:tcPr>
            <w:tcW w:w="592" w:type="pct"/>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(1.25)</w:t>
            </w:r>
          </w:p>
        </w:tc>
        <w:tc>
          <w:tcPr>
            <w:tcW w:w="592" w:type="pct"/>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3.51</w:t>
            </w:r>
            <w:r w:rsidRPr="00537842">
              <w:rPr>
                <w:rFonts w:ascii="Times New Roman" w:hAnsi="Times New Roman" w:cs="Times New Roman"/>
                <w:color w:val="000000"/>
                <w:vertAlign w:val="superscript"/>
              </w:rPr>
              <w:t xml:space="preserve"> a</w:t>
            </w:r>
          </w:p>
        </w:tc>
        <w:tc>
          <w:tcPr>
            <w:tcW w:w="590" w:type="pct"/>
            <w:vAlign w:val="bottom"/>
          </w:tcPr>
          <w:p w:rsidR="00366B1A" w:rsidRPr="00537842" w:rsidRDefault="00366B1A" w:rsidP="00D31AC3">
            <w:pPr>
              <w:jc w:val="right"/>
              <w:rPr>
                <w:rFonts w:ascii="Times New Roman" w:hAnsi="Times New Roman" w:cs="Times New Roman"/>
                <w:sz w:val="20"/>
                <w:szCs w:val="20"/>
              </w:rPr>
            </w:pPr>
            <w:r w:rsidRPr="00537842">
              <w:rPr>
                <w:rFonts w:ascii="Times New Roman" w:hAnsi="Times New Roman" w:cs="Times New Roman"/>
                <w:sz w:val="20"/>
                <w:szCs w:val="20"/>
              </w:rPr>
              <w:t>(0.55)</w:t>
            </w:r>
          </w:p>
        </w:tc>
      </w:tr>
    </w:tbl>
    <w:p w:rsidR="00366B1A" w:rsidRPr="00537842" w:rsidRDefault="00366B1A" w:rsidP="00366B1A">
      <w:pPr>
        <w:spacing w:line="240" w:lineRule="auto"/>
        <w:rPr>
          <w:rFonts w:ascii="Times New Roman" w:hAnsi="Times New Roman" w:cs="Times New Roman"/>
        </w:rPr>
      </w:pPr>
      <w:r w:rsidRPr="00537842">
        <w:rPr>
          <w:rFonts w:ascii="Times New Roman" w:hAnsi="Times New Roman" w:cs="Times New Roman"/>
        </w:rPr>
        <w:t xml:space="preserve">Superscripts denote significant difference at </w:t>
      </w:r>
      <w:r w:rsidRPr="00537842">
        <w:rPr>
          <w:rFonts w:ascii="Times New Roman" w:hAnsi="Times New Roman" w:cs="Times New Roman"/>
          <w:i/>
        </w:rPr>
        <w:t>p</w:t>
      </w:r>
      <w:r w:rsidRPr="00537842">
        <w:rPr>
          <w:rFonts w:ascii="Times New Roman" w:hAnsi="Times New Roman" w:cs="Times New Roman"/>
        </w:rPr>
        <w:t xml:space="preserve"> &lt; .05. </w:t>
      </w:r>
    </w:p>
    <w:p w:rsidR="00366B1A" w:rsidRPr="00537842" w:rsidRDefault="00366B1A" w:rsidP="00366B1A">
      <w:pPr>
        <w:rPr>
          <w:rFonts w:ascii="Times New Roman" w:hAnsi="Times New Roman" w:cs="Times New Roman"/>
        </w:rPr>
      </w:pPr>
    </w:p>
    <w:p w:rsidR="00BC62FE" w:rsidRPr="00537842" w:rsidRDefault="00BC62FE" w:rsidP="00BC62FE">
      <w:pPr>
        <w:spacing w:line="480" w:lineRule="auto"/>
        <w:rPr>
          <w:rFonts w:ascii="Times New Roman" w:hAnsi="Times New Roman" w:cs="Times New Roman"/>
          <w:b/>
        </w:rPr>
      </w:pPr>
      <w:r w:rsidRPr="00537842">
        <w:rPr>
          <w:rFonts w:ascii="Times New Roman" w:hAnsi="Times New Roman" w:cs="Times New Roman"/>
          <w:b/>
        </w:rPr>
        <w:t>Discussion</w:t>
      </w:r>
    </w:p>
    <w:p w:rsidR="00710E30" w:rsidRPr="00537842" w:rsidRDefault="00710E30" w:rsidP="00710E30">
      <w:pPr>
        <w:spacing w:line="480" w:lineRule="auto"/>
        <w:ind w:firstLine="720"/>
        <w:rPr>
          <w:rFonts w:ascii="Times New Roman" w:hAnsi="Times New Roman" w:cs="Times New Roman"/>
        </w:rPr>
      </w:pPr>
      <w:r w:rsidRPr="00537842">
        <w:rPr>
          <w:rFonts w:ascii="Times New Roman" w:hAnsi="Times New Roman" w:cs="Times New Roman"/>
        </w:rPr>
        <w:lastRenderedPageBreak/>
        <w:t xml:space="preserve">The current study found that consensus messages had no overall effect on concern over climate change, personal intentions to act or support for climate mitigation policies, as seen in previous studies examining similar constructs </w:t>
      </w:r>
      <w:r w:rsidRPr="00537842">
        <w:rPr>
          <w:rFonts w:ascii="Times New Roman" w:hAnsi="Times New Roman" w:cs="Times New Roman"/>
        </w:rPr>
        <w:fldChar w:fldCharType="begin" w:fldLock="1"/>
      </w:r>
      <w:r w:rsidR="00F72B98">
        <w:rPr>
          <w:rFonts w:ascii="Times New Roman" w:hAnsi="Times New Roman" w:cs="Times New Roman"/>
        </w:rPr>
        <w:instrText>ADDIN CSL_CITATION { "citationItems" : [ { "id" : "ITEM-1", "itemData" : { "abstract" : "Previous research has identified public perceptions of the scientific consensus on climate change as an important gateway belief. Yet, little research to date has examined how to effectively communicate the scientific consensus on climate change. In this study, we con- ducted an online experiment using a national quota sample to compare three approaches to communicating the scientific consensus, namely: (a) descriptive text, (b) a pie chart and (c) metaphorical representations. Results indicate that while all three approaches can significantly increase public understanding of the degree of scientific consensus, the pie chart and simple text have superior recall and are most effective across political party lines. We conclude that the scientific consensus on climate change is most effectively communicated as a short, simple message that is easy to comprehend and remember. Representing the consensus visually in the form of a pie chart appears to be particularly useful.", "author" : [ { "dropping-particle" : "", "family" : "Linden", "given" : "Sander L.", "non-dropping-particle" : "van der", "parse-names" : false, "suffix" : "" }, { "dropping-particle" : "", "family" : "Leiserowitz", "given" : "Anthony A.", "non-dropping-particle" : "", "parse-names" : false, "suffix" : "" }, { "dropping-particle" : "", "family" : "Feinberg", "given" : "Geoffrey D.", "non-dropping-particle" : "", "parse-names" : false, "suffix" : "" }, { "dropping-particle" : "", "family" : "Maibach", "given" : "Edward W.", "non-dropping-particle" : "", "parse-names" : false, "suffix" : "" } ], "container-title" : "Climatic Change", "id" : "ITEM-1", "issue" : "1-2", "issued" : { "date-parts" : [ [ "2014", "9", "1" ] ] }, "page" : "255-262", "title" : "How to communicate the scientific consensus on climate change: plain facts, pie charts or metaphors?", "type" : "article-journal", "volume" : "126" }, "uris" : [ "http://www.mendeley.com/documents/?uuid=ffc942db-6532-485e-8538-0235b1b37b70" ] }, { "id" : "ITEM-2", "itemData" : { "DOI" : "10.1371/journal.pone.0151469", "abstract" : "Despite over 20 years of research and scientific consensus on the topic, climate change continues to be a politically polarizing issue. We conducted a survey experiment to test whether providing the public with information on the exact extent of scientific agreement about the occurrence and causes of climate change affects respondents' own beliefs and bridges the divide between conservatives and liberals. First, we show that the public significantly underestimated the extent of the scientific consensus. We then find that those given concrete information about scientists' views were more likely to report believing that climate change was already underway and that it was caused by humans. However, their beliefs about the necessity of making policy decisions and their willingness to donate money to combat climate change were not affected. Information provision affected liberals, moderates, and conservatives similarly, implying that the gap in beliefs between liberals and conservatives is not likely to be bridged by information treatments similar to the one we study. Finally, we conducted a 6-month follow-up with respondents to see if the treatment effect persisted; the results were statistically inconclusive.", "author" : [ { "dropping-particle" : "", "family" : "Deryugina", "given" : "Tatyana", "non-dropping-particle" : "", "parse-names" : false, "suffix" : "" }, { "dropping-particle" : "", "family" : "Shurchkov", "given" : "Olga", "non-dropping-particle" : "", "parse-names" : false, "suffix" : "" } ], "container-title" : "PLoS ONE", "id" : "ITEM-2", "issue" : "4", "issued" : { "date-parts" : [ [ "2016", "4", "1" ] ] }, "title" : "The effect of information provision on public consensus about climate change", "type" : "article-journal", "volume" : "11" }, "uris" : [ "http://www.mendeley.com/documents/?uuid=fc2b8273-49f9-4c58-82a2-3ab9527aa884" ] }, { "id" : "ITEM-3", "itemData" : { "abstract" : "Scientists are in near universal agreement that human activity is a primary cause of climate change. Yet, despite this scientific consensus, the American public remains divided when it comes to climate change beliefs. We investigate the role of partisan group identity and the politicization of science in undermining the impact of scientific consensus communications. We do so with a survey experiment administered on a nationally representative sample, finding that partisan identity and especially politicization can limit the impact of scientific consensus statements about climate change. We conclude with a discussion about how scientists, as a group, might work with partisans to more effectively communicate scientific information.", "author" : [ { "dropping-particle" : "", "family" : "Bolsen", "given" : "T", "non-dropping-particle" : "", "parse-names" : false, "suffix" : "" }, { "dropping-particle" : "", "family" : "Druckman", "given" : "James N", "non-dropping-particle" : "", "parse-names" : false, "suffix" : "" } ], "container-title" : "First Annual Research Roundtable on Global Climate Change Governance: Geoengineering", "id" : "ITEM-3", "issued" : { "date-parts" : [ [ "2017" ] ] }, "publisher-place" : "Chicago, IL", "title" : "Do Partisanship and Politicization Undermine the Impact of Scientific Consensus on Climate Change Beliefs?", "type" : "paper-conference" }, "uris" : [ "http://www.mendeley.com/documents/?uuid=4ed164cf-9e28-3253-a6bd-35e463f6b994" ] } ], "mendeley" : { "formattedCitation" : "[14\u201316]", "plainTextFormattedCitation" : "[14\u201316]", "previouslyFormattedCitation" : "[14\u201316]" }, "properties" : {  }, "schema" : "https://github.com/citation-style-language/schema/raw/master/csl-citation.json" }</w:instrText>
      </w:r>
      <w:r w:rsidRPr="00537842">
        <w:rPr>
          <w:rFonts w:ascii="Times New Roman" w:hAnsi="Times New Roman" w:cs="Times New Roman"/>
        </w:rPr>
        <w:fldChar w:fldCharType="separate"/>
      </w:r>
      <w:r w:rsidR="00F72B98" w:rsidRPr="00F72B98">
        <w:rPr>
          <w:rFonts w:ascii="Times New Roman" w:hAnsi="Times New Roman" w:cs="Times New Roman"/>
          <w:noProof/>
        </w:rPr>
        <w:t>[14–16]</w:t>
      </w:r>
      <w:r w:rsidRPr="00537842">
        <w:rPr>
          <w:rFonts w:ascii="Times New Roman" w:hAnsi="Times New Roman" w:cs="Times New Roman"/>
        </w:rPr>
        <w:fldChar w:fldCharType="end"/>
      </w:r>
      <w:r w:rsidRPr="00537842">
        <w:rPr>
          <w:rFonts w:ascii="Times New Roman" w:hAnsi="Times New Roman" w:cs="Times New Roman"/>
        </w:rPr>
        <w:t xml:space="preserve">. Exceptions include an experiment by </w:t>
      </w:r>
      <w:proofErr w:type="spellStart"/>
      <w:r w:rsidRPr="00537842">
        <w:rPr>
          <w:rFonts w:ascii="Times New Roman" w:hAnsi="Times New Roman" w:cs="Times New Roman"/>
        </w:rPr>
        <w:t>Bolsen</w:t>
      </w:r>
      <w:proofErr w:type="spellEnd"/>
      <w:r w:rsidRPr="00537842">
        <w:rPr>
          <w:rFonts w:ascii="Times New Roman" w:hAnsi="Times New Roman" w:cs="Times New Roman"/>
        </w:rPr>
        <w:t xml:space="preserve"> et al. </w:t>
      </w:r>
      <w:r w:rsidRPr="00537842">
        <w:rPr>
          <w:rFonts w:ascii="Times New Roman" w:hAnsi="Times New Roman" w:cs="Times New Roman"/>
        </w:rPr>
        <w:fldChar w:fldCharType="begin" w:fldLock="1"/>
      </w:r>
      <w:r w:rsidR="00F72B98">
        <w:rPr>
          <w:rFonts w:ascii="Times New Roman" w:hAnsi="Times New Roman" w:cs="Times New Roman"/>
        </w:rPr>
        <w:instrText>ADDIN CSL_CITATION { "citationItems" : [ { "id" : "ITEM-1", "itemData" : { "DOI" : "10.1177/1532673X13484173", "ISSN" : "1532-673X", "author" : [ { "dropping-particle" : "", "family" : "Bolsen", "given" : "T.", "non-dropping-particle" : "", "parse-names" : false, "suffix" : "" }, { "dropping-particle" : "", "family" : "Leeper", "given" : "T. J.", "non-dropping-particle" : "", "parse-names" : false, "suffix" : "" }, { "dropping-particle" : "", "family" : "Shapiro", "given" : "M. A.", "non-dropping-particle" : "", "parse-names" : false, "suffix" : "" } ], "container-title" : "American Politics Research", "id" : "ITEM-1", "issue" : "1", "issued" : { "date-parts" : [ [ "2014", "1", "1" ] ] }, "page" : "65-89", "title" : "Doing what others do: Norms, science, and collective action on global warming", "type" : "article-journal", "volume" : "42" }, "suppress-author" : 1, "uris" : [ "http://www.mendeley.com/documents/?uuid=202acfc5-66af-38f6-b80e-18916a3a54f7" ] } ], "mendeley" : { "formattedCitation" : "[17]", "plainTextFormattedCitation" : "[17]", "previouslyFormattedCitation" : "[17]" }, "properties" : {  }, "schema" : "https://github.com/citation-style-language/schema/raw/master/csl-citation.json" }</w:instrText>
      </w:r>
      <w:r w:rsidRPr="00537842">
        <w:rPr>
          <w:rFonts w:ascii="Times New Roman" w:hAnsi="Times New Roman" w:cs="Times New Roman"/>
        </w:rPr>
        <w:fldChar w:fldCharType="separate"/>
      </w:r>
      <w:r w:rsidR="00F72B98" w:rsidRPr="00F72B98">
        <w:rPr>
          <w:rFonts w:ascii="Times New Roman" w:hAnsi="Times New Roman" w:cs="Times New Roman"/>
          <w:noProof/>
        </w:rPr>
        <w:t>[17]</w:t>
      </w:r>
      <w:r w:rsidRPr="00537842">
        <w:rPr>
          <w:rFonts w:ascii="Times New Roman" w:hAnsi="Times New Roman" w:cs="Times New Roman"/>
        </w:rPr>
        <w:fldChar w:fldCharType="end"/>
      </w:r>
      <w:r w:rsidRPr="00537842">
        <w:rPr>
          <w:rFonts w:ascii="Times New Roman" w:hAnsi="Times New Roman" w:cs="Times New Roman"/>
        </w:rPr>
        <w:t xml:space="preserve"> which found that while a high consensus message did not influence belief in human-caused climate change, it did increase support for climate policies and willingness to take personal action. A large (N = 3,150) survey experiment undertaken by </w:t>
      </w:r>
      <w:r w:rsidRPr="00537842">
        <w:rPr>
          <w:rFonts w:ascii="Times New Roman" w:hAnsi="Times New Roman" w:cs="Times New Roman"/>
          <w:noProof/>
        </w:rPr>
        <w:t xml:space="preserve">van der Linden et al. </w:t>
      </w:r>
      <w:r w:rsidRPr="00537842">
        <w:rPr>
          <w:rFonts w:ascii="Times New Roman" w:hAnsi="Times New Roman" w:cs="Times New Roman"/>
        </w:rPr>
        <w:fldChar w:fldCharType="begin" w:fldLock="1"/>
      </w:r>
      <w:r w:rsidR="009B7B84">
        <w:rPr>
          <w:rFonts w:ascii="Times New Roman" w:hAnsi="Times New Roman" w:cs="Times New Roman"/>
        </w:rPr>
        <w:instrText>ADDIN CSL_CITATION { "citationItems" : [ { "id" : "ITEM-1", "itemData" : { "abstract" : "In this paper, we respond to the critiques presented by [Kahan, 2017]. Contrary to claims that the scientific consensus message did not significantly influence the key mediator and outcome variables in our model, we show that the experiment in [van der Linden et al., 2015] did in fact directly influence key beliefs about climate change. We also clarify that the Gateway Belief Model (GBM) is theoretically well-specified, empirically sound, and as hypothesized, the consensus message exerts a significant indirect influence on support for public action through the mediating variables. We support our conclusions with a large-scale replication.", "author" : [ { "dropping-particle" : "", "family" : "Linden", "given" : "Sander", "non-dropping-particle" : "van der", "parse-names" : false, "suffix" : "" }, { "dropping-particle" : "", "family" : "Leiserowitz", "given" : "Anthony", "non-dropping-particle" : "", "parse-names" : false, "suffix" : "" }, { "dropping-particle" : "", "family" : "Maibach", "given" : "Edward", "non-dropping-particle" : "", "parse-names" : false, "suffix" : "" } ], "container-title" : "Journal of Science Communication", "id" : "ITEM-1", "issue" : "5", "issued" : { "date-parts" : [ [ "2017" ] ] }, "page" : "A04", "publisher" : "SISSA", "title" : "Gateway illusion or cultural cognition confusion?", "type" : "article-journal", "volume" : "16" }, "uris" : [ "http://www.mendeley.com/documents/?uuid=5b3c00cd-3a0f-375d-958a-6d3ccfba4e5c" ] } ], "mendeley" : { "formattedCitation" : "[18]", "plainTextFormattedCitation" : "[18]", "previouslyFormattedCitation" : "[18]" }, "properties" : {  }, "schema" : "https://github.com/citation-style-language/schema/raw/master/csl-citation.json" }</w:instrText>
      </w:r>
      <w:r w:rsidRPr="00537842">
        <w:rPr>
          <w:rFonts w:ascii="Times New Roman" w:hAnsi="Times New Roman" w:cs="Times New Roman"/>
        </w:rPr>
        <w:fldChar w:fldCharType="separate"/>
      </w:r>
      <w:r w:rsidR="00F72B98" w:rsidRPr="00F72B98">
        <w:rPr>
          <w:rFonts w:ascii="Times New Roman" w:hAnsi="Times New Roman" w:cs="Times New Roman"/>
          <w:noProof/>
        </w:rPr>
        <w:t>[18]</w:t>
      </w:r>
      <w:r w:rsidRPr="00537842">
        <w:rPr>
          <w:rFonts w:ascii="Times New Roman" w:hAnsi="Times New Roman" w:cs="Times New Roman"/>
        </w:rPr>
        <w:fldChar w:fldCharType="end"/>
      </w:r>
      <w:r w:rsidRPr="00537842">
        <w:rPr>
          <w:rFonts w:ascii="Times New Roman" w:hAnsi="Times New Roman" w:cs="Times New Roman"/>
        </w:rPr>
        <w:t xml:space="preserve"> also found that a single consensus statement led to significant within-subjects increases in worry about climate change and general support for action. Taken in the context of this previous research, the current results suggest that any immediate effects of consensus messaging on more distal beliefs related to climate change, such as personal intentions and policy support, are at best small and difficult to detect. </w:t>
      </w:r>
    </w:p>
    <w:p w:rsidR="00710E30" w:rsidRPr="00537842" w:rsidRDefault="00710E30" w:rsidP="00710E30">
      <w:pPr>
        <w:spacing w:line="480" w:lineRule="auto"/>
        <w:ind w:firstLine="720"/>
        <w:rPr>
          <w:rFonts w:ascii="Times New Roman" w:hAnsi="Times New Roman" w:cs="Times New Roman"/>
        </w:rPr>
      </w:pPr>
      <w:r w:rsidRPr="00537842">
        <w:rPr>
          <w:rFonts w:ascii="Times New Roman" w:hAnsi="Times New Roman" w:cs="Times New Roman"/>
        </w:rPr>
        <w:t>This is the first study to date to examine the effects of consensus messages on personal intentions to buy or consume GM food and GM policy preferences. The results imply that actors seeking to decrease support for GM regulation would find consensus messaging a useful tactic in shifting public opinion.</w:t>
      </w:r>
      <w:r w:rsidR="00721FEA" w:rsidRPr="00537842">
        <w:rPr>
          <w:rFonts w:ascii="Times New Roman" w:hAnsi="Times New Roman" w:cs="Times New Roman"/>
        </w:rPr>
        <w:t xml:space="preserve"> </w:t>
      </w:r>
    </w:p>
    <w:p w:rsidR="00710E30" w:rsidRPr="00537842" w:rsidRDefault="00710E30" w:rsidP="00721FEA">
      <w:pPr>
        <w:spacing w:line="480" w:lineRule="auto"/>
        <w:rPr>
          <w:rFonts w:ascii="Times New Roman" w:hAnsi="Times New Roman" w:cs="Times New Roman"/>
        </w:rPr>
      </w:pPr>
    </w:p>
    <w:p w:rsidR="00920283" w:rsidRPr="00F72B98" w:rsidRDefault="00B43D0C" w:rsidP="00F72B98">
      <w:pPr>
        <w:rPr>
          <w:rFonts w:ascii="Times New Roman" w:hAnsi="Times New Roman" w:cs="Times New Roman"/>
          <w:b/>
        </w:rPr>
      </w:pPr>
      <w:r w:rsidRPr="00537842">
        <w:rPr>
          <w:rFonts w:ascii="Times New Roman" w:hAnsi="Times New Roman" w:cs="Times New Roman"/>
          <w:b/>
        </w:rPr>
        <w:br w:type="page"/>
      </w:r>
    </w:p>
    <w:p w:rsidR="00054B96" w:rsidRDefault="00054B96">
      <w:pPr>
        <w:rPr>
          <w:rFonts w:ascii="Times New Roman" w:hAnsi="Times New Roman" w:cs="Times New Roman"/>
          <w:b/>
        </w:rPr>
      </w:pPr>
    </w:p>
    <w:p w:rsidR="009F5870" w:rsidRPr="00537842" w:rsidRDefault="00C24269" w:rsidP="00054B96">
      <w:pPr>
        <w:spacing w:line="480" w:lineRule="auto"/>
        <w:jc w:val="center"/>
        <w:rPr>
          <w:rFonts w:ascii="Times New Roman" w:hAnsi="Times New Roman" w:cs="Times New Roman"/>
          <w:b/>
        </w:rPr>
      </w:pPr>
      <w:r w:rsidRPr="00537842">
        <w:rPr>
          <w:rFonts w:ascii="Times New Roman" w:hAnsi="Times New Roman" w:cs="Times New Roman"/>
          <w:b/>
        </w:rPr>
        <w:t>References</w:t>
      </w:r>
    </w:p>
    <w:p w:rsidR="00C24269" w:rsidRPr="00537842" w:rsidRDefault="00C24269" w:rsidP="00054B96">
      <w:pPr>
        <w:spacing w:line="480" w:lineRule="auto"/>
        <w:jc w:val="center"/>
        <w:rPr>
          <w:rFonts w:ascii="Times New Roman" w:hAnsi="Times New Roman" w:cs="Times New Roman"/>
          <w:b/>
        </w:rPr>
      </w:pPr>
    </w:p>
    <w:p w:rsidR="009B7B84" w:rsidRPr="009B7B84" w:rsidRDefault="009F5870"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537842">
        <w:rPr>
          <w:rFonts w:ascii="Times New Roman" w:hAnsi="Times New Roman" w:cs="Times New Roman"/>
        </w:rPr>
        <w:fldChar w:fldCharType="begin" w:fldLock="1"/>
      </w:r>
      <w:r w:rsidRPr="00537842">
        <w:rPr>
          <w:rFonts w:ascii="Times New Roman" w:hAnsi="Times New Roman" w:cs="Times New Roman"/>
        </w:rPr>
        <w:instrText xml:space="preserve">ADDIN Mendeley Bibliography CSL_BIBLIOGRAPHY </w:instrText>
      </w:r>
      <w:r w:rsidRPr="00537842">
        <w:rPr>
          <w:rFonts w:ascii="Times New Roman" w:hAnsi="Times New Roman" w:cs="Times New Roman"/>
        </w:rPr>
        <w:fldChar w:fldCharType="separate"/>
      </w:r>
      <w:r w:rsidR="009B7B84" w:rsidRPr="009B7B84">
        <w:rPr>
          <w:rFonts w:ascii="Times New Roman" w:hAnsi="Times New Roman" w:cs="Times New Roman"/>
          <w:noProof/>
          <w:szCs w:val="24"/>
        </w:rPr>
        <w:t xml:space="preserve">1. </w:t>
      </w:r>
      <w:r w:rsidR="009B7B84" w:rsidRPr="009B7B84">
        <w:rPr>
          <w:rFonts w:ascii="Times New Roman" w:hAnsi="Times New Roman" w:cs="Times New Roman"/>
          <w:noProof/>
          <w:szCs w:val="24"/>
        </w:rPr>
        <w:tab/>
        <w:t>Spence A, Poortinga W, Pidgeon N. The psychological distance of climate change. Risk Anal. 2012;32: 957–972. doi:10.1111/j.1539-6924.2011.01695.x</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2. </w:t>
      </w:r>
      <w:r w:rsidRPr="009B7B84">
        <w:rPr>
          <w:rFonts w:ascii="Times New Roman" w:hAnsi="Times New Roman" w:cs="Times New Roman"/>
          <w:noProof/>
          <w:szCs w:val="24"/>
        </w:rPr>
        <w:tab/>
        <w:t>van der Linden SL. The social-psychological determinants of climate change risk perceptions, intentions and behaviours: a national study. [Internet]. The London School of Economics and Political Science. 2014. Available: http://etheses.lse.ac.uk/896/</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3. </w:t>
      </w:r>
      <w:r w:rsidRPr="009B7B84">
        <w:rPr>
          <w:rFonts w:ascii="Times New Roman" w:hAnsi="Times New Roman" w:cs="Times New Roman"/>
          <w:noProof/>
          <w:szCs w:val="24"/>
        </w:rPr>
        <w:tab/>
        <w:t>Leiserowitz A. Climate change risk perception and policy preferences: The role of affect, imagery, and values. Clim Change. 2006;77: 45–72. doi:10.1007/s10584-006-9059-9</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4. </w:t>
      </w:r>
      <w:r w:rsidRPr="009B7B84">
        <w:rPr>
          <w:rFonts w:ascii="Times New Roman" w:hAnsi="Times New Roman" w:cs="Times New Roman"/>
          <w:noProof/>
          <w:szCs w:val="24"/>
        </w:rPr>
        <w:tab/>
        <w:t>Dietz T, Dan A, Shwom R. Support for climate change policy: Social psychological and social structural influences. Rural Sociol. 2007;72: 185–214. doi:10.1526/003601107781170026</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5. </w:t>
      </w:r>
      <w:r w:rsidRPr="009B7B84">
        <w:rPr>
          <w:rFonts w:ascii="Times New Roman" w:hAnsi="Times New Roman" w:cs="Times New Roman"/>
          <w:noProof/>
          <w:szCs w:val="24"/>
        </w:rPr>
        <w:tab/>
        <w:t>Royal Society of New Zealand. Transition to a low-carbon economy for New Zealand [Internet]. Wellinton; 2016. Available: https://royalsociety.org.nz/assets/documents/Report-Transition-to-Low-Carbon-Economy-for-NZ.pdf</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6. </w:t>
      </w:r>
      <w:r w:rsidRPr="009B7B84">
        <w:rPr>
          <w:rFonts w:ascii="Times New Roman" w:hAnsi="Times New Roman" w:cs="Times New Roman"/>
          <w:noProof/>
          <w:szCs w:val="24"/>
        </w:rPr>
        <w:tab/>
        <w:t>Parliamentary Commissioner for the Environment. Climate change and agriculture: Understanding the biological greenhouse gases [Internet]. Wellington, NZ; 2016. Available: http://www.pce.parliament.nz/media/1678/climate-change-and-agriculture-web.pdf</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7. </w:t>
      </w:r>
      <w:r w:rsidRPr="009B7B84">
        <w:rPr>
          <w:rFonts w:ascii="Times New Roman" w:hAnsi="Times New Roman" w:cs="Times New Roman"/>
          <w:noProof/>
          <w:szCs w:val="24"/>
        </w:rPr>
        <w:tab/>
        <w:t>Polkinghorne J. Guest post: carbon taxes and the NZ economy - Greater Auckland [Internet]. 2016 [cited 23 Aug 2017]. Available: https://www.greaterauckland.org.nz/2016/11/17/guest-post-carbon-taxes-and-the-nz-economy/</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8. </w:t>
      </w:r>
      <w:r w:rsidRPr="009B7B84">
        <w:rPr>
          <w:rFonts w:ascii="Times New Roman" w:hAnsi="Times New Roman" w:cs="Times New Roman"/>
          <w:noProof/>
          <w:szCs w:val="24"/>
        </w:rPr>
        <w:tab/>
        <w:t xml:space="preserve">Field A. Discovering statistics using SPSS. 3rd ed. London: SAGE Publications; 2009. </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9. </w:t>
      </w:r>
      <w:r w:rsidRPr="009B7B84">
        <w:rPr>
          <w:rFonts w:ascii="Times New Roman" w:hAnsi="Times New Roman" w:cs="Times New Roman"/>
          <w:noProof/>
          <w:szCs w:val="24"/>
        </w:rPr>
        <w:tab/>
        <w:t>Spence A, Townsend E. Examining consumer behavior toward genetically modified (GM) food in Britain. Risk Anal. 2006;26: 657–670. doi:10.1111/j.1539-6924.2006.00777.x</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lastRenderedPageBreak/>
        <w:t xml:space="preserve">10. </w:t>
      </w:r>
      <w:r w:rsidRPr="009B7B84">
        <w:rPr>
          <w:rFonts w:ascii="Times New Roman" w:hAnsi="Times New Roman" w:cs="Times New Roman"/>
          <w:noProof/>
          <w:szCs w:val="24"/>
        </w:rPr>
        <w:tab/>
        <w:t>Peters G, Heinemann J. Should NZ grow genetically modified crops? - NZ Herald. In: New Zealand Herald [Internet]. 2012 [cited 23 Aug 2017]. Available: http://www.nzherald.co.nz/business/news/article.cfm?c_id=3&amp;objectid=10833317</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11. </w:t>
      </w:r>
      <w:r w:rsidRPr="009B7B84">
        <w:rPr>
          <w:rFonts w:ascii="Times New Roman" w:hAnsi="Times New Roman" w:cs="Times New Roman"/>
          <w:noProof/>
          <w:szCs w:val="24"/>
        </w:rPr>
        <w:tab/>
        <w:t>Galloway J. NZ will have to allow GM food to keep up with other countries | Stuff.co.nz. In: NZ Farmer [Internet]. 2016 [cited 23 Aug 2017]. Available: http://www.stuff.co.nz/business/farming/78586826/nz-will-have-to-allow-gm-food-to-keep-up-with-other-countries</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12. </w:t>
      </w:r>
      <w:r w:rsidRPr="009B7B84">
        <w:rPr>
          <w:rFonts w:ascii="Times New Roman" w:hAnsi="Times New Roman" w:cs="Times New Roman"/>
          <w:noProof/>
          <w:szCs w:val="24"/>
        </w:rPr>
        <w:tab/>
        <w:t>GE Free NZ. Proposal to stop labelling of GM food would deny consumers basic right to know. [Internet]. 2016 [cited 23 Aug 2017]. Available: http://press.gefree.org.nz/press/20160823.htm</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13. </w:t>
      </w:r>
      <w:r w:rsidRPr="009B7B84">
        <w:rPr>
          <w:rFonts w:ascii="Times New Roman" w:hAnsi="Times New Roman" w:cs="Times New Roman"/>
          <w:noProof/>
          <w:szCs w:val="24"/>
        </w:rPr>
        <w:tab/>
        <w:t>NZ Parliament. Primary Production Committee report on Petition 2011/68 of Jon Muller [Internet]. Wellington, NZ; 2015. Available: https://www.parliament.nz/resource/en-nz/51DBSCH_SCR62256_1/081c26f143ac1696ec551b82bad4e1f004985779</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14. </w:t>
      </w:r>
      <w:r w:rsidRPr="009B7B84">
        <w:rPr>
          <w:rFonts w:ascii="Times New Roman" w:hAnsi="Times New Roman" w:cs="Times New Roman"/>
          <w:noProof/>
          <w:szCs w:val="24"/>
        </w:rPr>
        <w:tab/>
        <w:t xml:space="preserve">van der Linden SL, Leiserowitz AA, Feinberg GD, Maibach EW. How to communicate the scientific consensus on climate change: plain facts, pie charts or metaphors? Clim Change. 2014;126: 255–262. </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15. </w:t>
      </w:r>
      <w:r w:rsidRPr="009B7B84">
        <w:rPr>
          <w:rFonts w:ascii="Times New Roman" w:hAnsi="Times New Roman" w:cs="Times New Roman"/>
          <w:noProof/>
          <w:szCs w:val="24"/>
        </w:rPr>
        <w:tab/>
        <w:t>Deryugina T, Shurchkov O. The effect of information provision on public consensus about climate change. PLoS One. 2016;11. doi:10.1371/journal.pone.0151469</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16. </w:t>
      </w:r>
      <w:r w:rsidRPr="009B7B84">
        <w:rPr>
          <w:rFonts w:ascii="Times New Roman" w:hAnsi="Times New Roman" w:cs="Times New Roman"/>
          <w:noProof/>
          <w:szCs w:val="24"/>
        </w:rPr>
        <w:tab/>
        <w:t>Bolsen T, Druckman JN. Do Partisanship and Politicization Undermine the Impact of Scientific Consensus on Climate Change Beliefs? First Annual Research Roundtable on Global Climate Change Governance: Geoengineering. Chicago, IL; 2017. Available: http://www.law.northwestern.edu/research-faculty/searlecenter/events/roundtable/documents/Druckman_Partisan_Group_Identity_Belief_in_Human-Caused_Climate_Change.pdf</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szCs w:val="24"/>
        </w:rPr>
      </w:pPr>
      <w:r w:rsidRPr="009B7B84">
        <w:rPr>
          <w:rFonts w:ascii="Times New Roman" w:hAnsi="Times New Roman" w:cs="Times New Roman"/>
          <w:noProof/>
          <w:szCs w:val="24"/>
        </w:rPr>
        <w:t xml:space="preserve">17. </w:t>
      </w:r>
      <w:r w:rsidRPr="009B7B84">
        <w:rPr>
          <w:rFonts w:ascii="Times New Roman" w:hAnsi="Times New Roman" w:cs="Times New Roman"/>
          <w:noProof/>
          <w:szCs w:val="24"/>
        </w:rPr>
        <w:tab/>
        <w:t xml:space="preserve">Bolsen T, Leeper TJ, Shapiro MA. Doing what others do: Norms, science, and collective </w:t>
      </w:r>
      <w:r w:rsidRPr="009B7B84">
        <w:rPr>
          <w:rFonts w:ascii="Times New Roman" w:hAnsi="Times New Roman" w:cs="Times New Roman"/>
          <w:noProof/>
          <w:szCs w:val="24"/>
        </w:rPr>
        <w:lastRenderedPageBreak/>
        <w:t>action on global warming. Am Polit Res. 2014;42: 65–89. doi:10.1177/1532673X13484173</w:t>
      </w:r>
    </w:p>
    <w:p w:rsidR="009B7B84" w:rsidRPr="009B7B84" w:rsidRDefault="009B7B84" w:rsidP="009B7B84">
      <w:pPr>
        <w:widowControl w:val="0"/>
        <w:autoSpaceDE w:val="0"/>
        <w:autoSpaceDN w:val="0"/>
        <w:adjustRightInd w:val="0"/>
        <w:spacing w:line="480" w:lineRule="auto"/>
        <w:ind w:left="640" w:hanging="640"/>
        <w:rPr>
          <w:rFonts w:ascii="Times New Roman" w:hAnsi="Times New Roman" w:cs="Times New Roman"/>
          <w:noProof/>
        </w:rPr>
      </w:pPr>
      <w:r w:rsidRPr="009B7B84">
        <w:rPr>
          <w:rFonts w:ascii="Times New Roman" w:hAnsi="Times New Roman" w:cs="Times New Roman"/>
          <w:noProof/>
          <w:szCs w:val="24"/>
        </w:rPr>
        <w:t xml:space="preserve">18. </w:t>
      </w:r>
      <w:r w:rsidRPr="009B7B84">
        <w:rPr>
          <w:rFonts w:ascii="Times New Roman" w:hAnsi="Times New Roman" w:cs="Times New Roman"/>
          <w:noProof/>
          <w:szCs w:val="24"/>
        </w:rPr>
        <w:tab/>
        <w:t xml:space="preserve">van der Linden S, Leiserowitz A, Maibach E. </w:t>
      </w:r>
      <w:bookmarkStart w:id="0" w:name="_GoBack"/>
      <w:r w:rsidRPr="009B7B84">
        <w:rPr>
          <w:rFonts w:ascii="Times New Roman" w:hAnsi="Times New Roman" w:cs="Times New Roman"/>
          <w:noProof/>
          <w:szCs w:val="24"/>
        </w:rPr>
        <w:t xml:space="preserve">Gateway illusion or cultural cognition confusion? </w:t>
      </w:r>
      <w:bookmarkEnd w:id="0"/>
      <w:r w:rsidRPr="009B7B84">
        <w:rPr>
          <w:rFonts w:ascii="Times New Roman" w:hAnsi="Times New Roman" w:cs="Times New Roman"/>
          <w:noProof/>
          <w:szCs w:val="24"/>
        </w:rPr>
        <w:t xml:space="preserve">J Sci Commun. SISSA; 2017;16: A04. </w:t>
      </w:r>
    </w:p>
    <w:p w:rsidR="009F5870" w:rsidRPr="00537842" w:rsidRDefault="009F5870" w:rsidP="00054B96">
      <w:pPr>
        <w:spacing w:line="480" w:lineRule="auto"/>
        <w:rPr>
          <w:rFonts w:ascii="Times New Roman" w:hAnsi="Times New Roman" w:cs="Times New Roman"/>
        </w:rPr>
      </w:pPr>
      <w:r w:rsidRPr="00537842">
        <w:rPr>
          <w:rFonts w:ascii="Times New Roman" w:hAnsi="Times New Roman" w:cs="Times New Roman"/>
        </w:rPr>
        <w:fldChar w:fldCharType="end"/>
      </w:r>
    </w:p>
    <w:sectPr w:rsidR="009F5870" w:rsidRPr="00537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1A"/>
    <w:rsid w:val="00054B96"/>
    <w:rsid w:val="00064226"/>
    <w:rsid w:val="00165655"/>
    <w:rsid w:val="00205021"/>
    <w:rsid w:val="00256C48"/>
    <w:rsid w:val="003305B7"/>
    <w:rsid w:val="00366B1A"/>
    <w:rsid w:val="00371F45"/>
    <w:rsid w:val="00397CCC"/>
    <w:rsid w:val="003D7A06"/>
    <w:rsid w:val="00481F2F"/>
    <w:rsid w:val="00490BD2"/>
    <w:rsid w:val="00537842"/>
    <w:rsid w:val="00557F91"/>
    <w:rsid w:val="0056616A"/>
    <w:rsid w:val="00670DB0"/>
    <w:rsid w:val="006E3A61"/>
    <w:rsid w:val="006F5150"/>
    <w:rsid w:val="00710E30"/>
    <w:rsid w:val="00714213"/>
    <w:rsid w:val="00721FEA"/>
    <w:rsid w:val="007E019C"/>
    <w:rsid w:val="00804A86"/>
    <w:rsid w:val="00812144"/>
    <w:rsid w:val="008E46D4"/>
    <w:rsid w:val="00920283"/>
    <w:rsid w:val="009413A6"/>
    <w:rsid w:val="009B7B84"/>
    <w:rsid w:val="009F5870"/>
    <w:rsid w:val="00A04790"/>
    <w:rsid w:val="00A32F29"/>
    <w:rsid w:val="00A83594"/>
    <w:rsid w:val="00A91943"/>
    <w:rsid w:val="00B3120F"/>
    <w:rsid w:val="00B43D0C"/>
    <w:rsid w:val="00B900C0"/>
    <w:rsid w:val="00BC62FE"/>
    <w:rsid w:val="00C15C7F"/>
    <w:rsid w:val="00C24269"/>
    <w:rsid w:val="00C3101A"/>
    <w:rsid w:val="00CD5BFC"/>
    <w:rsid w:val="00CD681E"/>
    <w:rsid w:val="00D310DD"/>
    <w:rsid w:val="00D31AC3"/>
    <w:rsid w:val="00D645CF"/>
    <w:rsid w:val="00DB503A"/>
    <w:rsid w:val="00DE26E4"/>
    <w:rsid w:val="00DE4B8F"/>
    <w:rsid w:val="00F13615"/>
    <w:rsid w:val="00F72B98"/>
    <w:rsid w:val="00FA2864"/>
    <w:rsid w:val="00FD4F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24810-9FDD-4D40-B87C-A271A628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66B1A"/>
    <w:pPr>
      <w:spacing w:line="240" w:lineRule="auto"/>
    </w:pPr>
    <w:rPr>
      <w:sz w:val="20"/>
      <w:szCs w:val="20"/>
    </w:rPr>
  </w:style>
  <w:style w:type="character" w:customStyle="1" w:styleId="CommentTextChar">
    <w:name w:val="Comment Text Char"/>
    <w:basedOn w:val="DefaultParagraphFont"/>
    <w:link w:val="CommentText"/>
    <w:uiPriority w:val="99"/>
    <w:semiHidden/>
    <w:rsid w:val="00366B1A"/>
    <w:rPr>
      <w:sz w:val="20"/>
      <w:szCs w:val="20"/>
    </w:rPr>
  </w:style>
  <w:style w:type="character" w:styleId="CommentReference">
    <w:name w:val="annotation reference"/>
    <w:basedOn w:val="DefaultParagraphFont"/>
    <w:uiPriority w:val="99"/>
    <w:semiHidden/>
    <w:unhideWhenUsed/>
    <w:rsid w:val="00366B1A"/>
    <w:rPr>
      <w:sz w:val="18"/>
      <w:szCs w:val="18"/>
    </w:rPr>
  </w:style>
  <w:style w:type="paragraph" w:styleId="BalloonText">
    <w:name w:val="Balloon Text"/>
    <w:basedOn w:val="Normal"/>
    <w:link w:val="BalloonTextChar"/>
    <w:uiPriority w:val="99"/>
    <w:semiHidden/>
    <w:unhideWhenUsed/>
    <w:rsid w:val="00366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1A"/>
    <w:rPr>
      <w:rFonts w:ascii="Segoe UI" w:hAnsi="Segoe UI" w:cs="Segoe UI"/>
      <w:sz w:val="18"/>
      <w:szCs w:val="18"/>
    </w:rPr>
  </w:style>
  <w:style w:type="table" w:customStyle="1" w:styleId="TableGrid2">
    <w:name w:val="Table Grid2"/>
    <w:basedOn w:val="TableNormal"/>
    <w:next w:val="TableGrid"/>
    <w:uiPriority w:val="39"/>
    <w:rsid w:val="00710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0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0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1AC3"/>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B900C0"/>
    <w:rPr>
      <w:b/>
      <w:bCs/>
    </w:rPr>
  </w:style>
  <w:style w:type="character" w:customStyle="1" w:styleId="CommentSubjectChar">
    <w:name w:val="Comment Subject Char"/>
    <w:basedOn w:val="CommentTextChar"/>
    <w:link w:val="CommentSubject"/>
    <w:uiPriority w:val="99"/>
    <w:semiHidden/>
    <w:rsid w:val="00B900C0"/>
    <w:rPr>
      <w:b/>
      <w:bCs/>
      <w:sz w:val="20"/>
      <w:szCs w:val="20"/>
    </w:rPr>
  </w:style>
  <w:style w:type="table" w:customStyle="1" w:styleId="TableGrid5">
    <w:name w:val="Table Grid5"/>
    <w:basedOn w:val="TableNormal"/>
    <w:next w:val="TableGrid"/>
    <w:uiPriority w:val="39"/>
    <w:rsid w:val="004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2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B371-EEC8-4EAB-99DF-0CD7EF51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5129</Words>
  <Characters>29240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34301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Kerr</dc:creator>
  <cp:keywords/>
  <dc:description/>
  <cp:lastModifiedBy>John Kerr</cp:lastModifiedBy>
  <cp:revision>2</cp:revision>
  <dcterms:created xsi:type="dcterms:W3CDTF">2018-06-10T22:40:00Z</dcterms:created>
  <dcterms:modified xsi:type="dcterms:W3CDTF">2018-06-10T22:40:00Z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http://www.zotero.org/styles/journal-of-environmental-psychology</vt:lpwstr>
  </property>
  <property fmtid="{D5CDD505-2E9C-101B-9397-08002B2CF9AE}" pid="11" name="Mendeley Recent Style Name 4_1">
    <vt:lpwstr>Journal of Environmental Psychology</vt:lpwstr>
  </property>
  <property fmtid="{D5CDD505-2E9C-101B-9397-08002B2CF9AE}" pid="12" name="Mendeley Recent Style Id 5_1">
    <vt:lpwstr>http://www.zotero.org/styles/plos-computational-biology</vt:lpwstr>
  </property>
  <property fmtid="{D5CDD505-2E9C-101B-9397-08002B2CF9AE}" pid="13" name="Mendeley Recent Style Name 5_1">
    <vt:lpwstr>PLOS Computational Biology</vt:lpwstr>
  </property>
  <property fmtid="{D5CDD505-2E9C-101B-9397-08002B2CF9AE}" pid="14" name="Mendeley Recent Style Id 6_1">
    <vt:lpwstr>http://www.zotero.org/styles/plos-one</vt:lpwstr>
  </property>
  <property fmtid="{D5CDD505-2E9C-101B-9397-08002B2CF9AE}" pid="15" name="Mendeley Recent Style Name 6_1">
    <vt:lpwstr>PLOS ONE</vt:lpwstr>
  </property>
  <property fmtid="{D5CDD505-2E9C-101B-9397-08002B2CF9AE}" pid="16" name="Mendeley Recent Style Id 7_1">
    <vt:lpwstr>http://csl.mendeley.com/styles/475385701/plos-2JK</vt:lpwstr>
  </property>
  <property fmtid="{D5CDD505-2E9C-101B-9397-08002B2CF9AE}" pid="17" name="Mendeley Recent Style Name 7_1">
    <vt:lpwstr>Public Library of Science - John Kerr</vt:lpwstr>
  </property>
  <property fmtid="{D5CDD505-2E9C-101B-9397-08002B2CF9AE}" pid="18" name="Mendeley Recent Style Id 8_1">
    <vt:lpwstr>http://csl.mendeley.com/styles/475385701/plos-2JK-5</vt:lpwstr>
  </property>
  <property fmtid="{D5CDD505-2E9C-101B-9397-08002B2CF9AE}" pid="19" name="Mendeley Recent Style Name 8_1">
    <vt:lpwstr>Public Library of Science - John Kerr 2</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1010d347-eab5-3e5a-99e6-51ab6ee58473</vt:lpwstr>
  </property>
  <property fmtid="{D5CDD505-2E9C-101B-9397-08002B2CF9AE}" pid="24" name="Mendeley Citation Style_1">
    <vt:lpwstr>http://www.zotero.org/styles/plos-computational-biology</vt:lpwstr>
  </property>
</Properties>
</file>